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line="360" w:lineRule="auto"/>
        <w:jc w:val="center"/>
        <w:rPr>
          <w:rFonts w:hint="eastAsia" w:ascii="Times New Roman" w:hAnsi="Times New Roman" w:eastAsia="方正小标宋_GBK" w:cs="Times New Roman"/>
          <w:kern w:val="0"/>
          <w:sz w:val="36"/>
          <w:szCs w:val="36"/>
          <w:lang w:eastAsia="zh-CN"/>
        </w:rPr>
      </w:pPr>
      <w:r>
        <w:rPr>
          <w:rFonts w:hint="eastAsia" w:ascii="Times New Roman" w:hAnsi="Times New Roman" w:eastAsia="方正小标宋_GBK" w:cs="Times New Roman"/>
          <w:kern w:val="0"/>
          <w:sz w:val="36"/>
          <w:szCs w:val="36"/>
          <w:lang w:val="en-US" w:eastAsia="zh-CN"/>
        </w:rPr>
        <w:t>项目商务需求方案</w:t>
      </w:r>
    </w:p>
    <w:p>
      <w:pPr>
        <w:jc w:val="center"/>
        <w:rPr>
          <w:rFonts w:hint="eastAsia" w:eastAsia="宋体"/>
          <w:color w:val="000000"/>
          <w:highlight w:val="yellow"/>
          <w:lang w:eastAsia="zh-CN"/>
        </w:rPr>
      </w:pPr>
    </w:p>
    <w:p>
      <w:pPr>
        <w:pStyle w:val="2"/>
        <w:spacing w:before="0" w:after="0" w:line="440" w:lineRule="exact"/>
        <w:rPr>
          <w:rFonts w:hint="default" w:ascii="方正仿宋_GBK" w:hAnsi="宋体" w:eastAsia="方正仿宋_GBK"/>
          <w:color w:val="000000"/>
          <w:sz w:val="24"/>
          <w:szCs w:val="24"/>
        </w:rPr>
      </w:pPr>
      <w:r>
        <w:rPr>
          <w:rFonts w:hint="eastAsia" w:ascii="方正仿宋_GBK" w:hAnsi="宋体" w:eastAsia="方正仿宋_GBK"/>
          <w:color w:val="000000"/>
          <w:sz w:val="24"/>
          <w:szCs w:val="24"/>
        </w:rPr>
        <w:t>一、</w:t>
      </w:r>
      <w:r>
        <w:rPr>
          <w:rFonts w:hint="eastAsia" w:ascii="方正仿宋_GBK" w:hAnsi="宋体" w:eastAsia="方正仿宋_GBK"/>
          <w:color w:val="000000"/>
          <w:sz w:val="24"/>
          <w:szCs w:val="24"/>
          <w:lang w:eastAsia="zh-CN"/>
        </w:rPr>
        <w:t>交货</w:t>
      </w:r>
      <w:r>
        <w:rPr>
          <w:rFonts w:hint="eastAsia" w:ascii="方正仿宋_GBK" w:hAnsi="宋体" w:eastAsia="方正仿宋_GBK"/>
          <w:color w:val="000000"/>
          <w:sz w:val="24"/>
          <w:szCs w:val="24"/>
          <w:lang w:val="en-US" w:eastAsia="zh-CN"/>
        </w:rPr>
        <w:t>/实施</w:t>
      </w:r>
      <w:r>
        <w:rPr>
          <w:rFonts w:hint="eastAsia" w:ascii="方正仿宋_GBK" w:hAnsi="宋体" w:eastAsia="方正仿宋_GBK"/>
          <w:color w:val="000000"/>
          <w:sz w:val="24"/>
          <w:szCs w:val="24"/>
        </w:rPr>
        <w:t>时间、地点及验收方式</w:t>
      </w:r>
    </w:p>
    <w:p>
      <w:pPr>
        <w:pStyle w:val="5"/>
        <w:spacing w:line="400" w:lineRule="exact"/>
        <w:ind w:firstLine="360" w:firstLineChars="15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（一）</w:t>
      </w:r>
      <w:r>
        <w:rPr>
          <w:rFonts w:hint="eastAsia" w:ascii="方正仿宋_GBK" w:hAnsi="宋体" w:eastAsia="方正仿宋_GBK"/>
          <w:color w:val="000000"/>
          <w:sz w:val="24"/>
          <w:szCs w:val="24"/>
          <w:lang w:eastAsia="zh-CN"/>
        </w:rPr>
        <w:t>交货</w:t>
      </w:r>
      <w:r>
        <w:rPr>
          <w:rFonts w:hint="eastAsia" w:ascii="方正仿宋_GBK" w:hAnsi="宋体" w:eastAsia="方正仿宋_GBK"/>
          <w:color w:val="000000"/>
          <w:sz w:val="24"/>
          <w:szCs w:val="24"/>
          <w:lang w:val="en-US" w:eastAsia="zh-CN"/>
        </w:rPr>
        <w:t>/实施</w:t>
      </w:r>
      <w:r>
        <w:rPr>
          <w:rFonts w:hint="eastAsia" w:ascii="方正仿宋_GBK" w:hAnsi="宋体" w:eastAsia="方正仿宋_GBK"/>
          <w:color w:val="000000"/>
          <w:sz w:val="24"/>
          <w:szCs w:val="24"/>
        </w:rPr>
        <w:t>时间</w:t>
      </w:r>
    </w:p>
    <w:p>
      <w:pPr>
        <w:pStyle w:val="5"/>
        <w:tabs>
          <w:tab w:val="left" w:pos="4905"/>
        </w:tabs>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1.签订合同后30个日历日</w:t>
      </w:r>
      <w:r>
        <w:rPr>
          <w:rFonts w:hint="eastAsia" w:ascii="方正仿宋_GBK" w:hAnsi="宋体" w:eastAsia="方正仿宋_GBK"/>
          <w:color w:val="000000"/>
          <w:sz w:val="24"/>
          <w:szCs w:val="24"/>
          <w:lang w:eastAsia="zh-CN"/>
        </w:rPr>
        <w:t>内</w:t>
      </w:r>
      <w:r>
        <w:rPr>
          <w:rFonts w:hint="eastAsia" w:ascii="方正仿宋_GBK" w:hAnsi="宋体" w:eastAsia="方正仿宋_GBK"/>
          <w:color w:val="000000"/>
          <w:sz w:val="24"/>
          <w:szCs w:val="24"/>
        </w:rPr>
        <w:t>完成</w:t>
      </w:r>
      <w:r>
        <w:rPr>
          <w:rFonts w:hint="eastAsia" w:ascii="方正仿宋_GBK" w:hAnsi="宋体" w:eastAsia="方正仿宋_GBK"/>
          <w:color w:val="000000"/>
          <w:sz w:val="24"/>
          <w:szCs w:val="24"/>
          <w:lang w:eastAsia="zh-CN"/>
        </w:rPr>
        <w:t>合同约定的所有内容</w:t>
      </w:r>
      <w:r>
        <w:rPr>
          <w:rFonts w:hint="eastAsia" w:ascii="方正仿宋_GBK" w:hAnsi="宋体" w:eastAsia="方正仿宋_GBK"/>
          <w:color w:val="000000"/>
          <w:sz w:val="24"/>
          <w:szCs w:val="24"/>
        </w:rPr>
        <w:t>。</w:t>
      </w:r>
    </w:p>
    <w:p>
      <w:pPr>
        <w:pStyle w:val="5"/>
        <w:spacing w:line="400" w:lineRule="exact"/>
        <w:ind w:firstLine="360" w:firstLineChars="15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（二）</w:t>
      </w:r>
      <w:r>
        <w:rPr>
          <w:rFonts w:hint="eastAsia" w:ascii="方正仿宋_GBK" w:hAnsi="宋体" w:eastAsia="方正仿宋_GBK"/>
          <w:color w:val="000000"/>
          <w:sz w:val="24"/>
          <w:szCs w:val="24"/>
          <w:lang w:eastAsia="zh-CN"/>
        </w:rPr>
        <w:t>交货</w:t>
      </w:r>
      <w:r>
        <w:rPr>
          <w:rFonts w:hint="eastAsia" w:ascii="方正仿宋_GBK" w:hAnsi="宋体" w:eastAsia="方正仿宋_GBK"/>
          <w:color w:val="000000"/>
          <w:sz w:val="24"/>
          <w:szCs w:val="24"/>
          <w:lang w:val="en-US" w:eastAsia="zh-CN"/>
        </w:rPr>
        <w:t>/实施</w:t>
      </w:r>
      <w:r>
        <w:rPr>
          <w:rFonts w:hint="eastAsia" w:ascii="方正仿宋_GBK" w:hAnsi="宋体" w:eastAsia="方正仿宋_GBK"/>
          <w:color w:val="000000"/>
          <w:sz w:val="24"/>
          <w:szCs w:val="24"/>
        </w:rPr>
        <w:t>地点</w:t>
      </w:r>
    </w:p>
    <w:p>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lang w:eastAsia="zh-CN"/>
        </w:rPr>
        <w:t>重庆城市管理职业学院</w:t>
      </w:r>
      <w:r>
        <w:rPr>
          <w:rFonts w:hint="eastAsia" w:ascii="方正仿宋_GBK" w:hAnsi="宋体" w:eastAsia="方正仿宋_GBK"/>
          <w:color w:val="000000"/>
          <w:sz w:val="24"/>
          <w:szCs w:val="24"/>
          <w:lang w:val="en-US" w:eastAsia="zh-CN"/>
        </w:rPr>
        <w:t>数智财经学院</w:t>
      </w:r>
      <w:r>
        <w:rPr>
          <w:rFonts w:hint="eastAsia" w:ascii="方正仿宋_GBK" w:hAnsi="宋体" w:eastAsia="方正仿宋_GBK"/>
          <w:color w:val="000000"/>
          <w:sz w:val="24"/>
          <w:szCs w:val="24"/>
        </w:rPr>
        <w:t>。</w:t>
      </w:r>
    </w:p>
    <w:p>
      <w:pPr>
        <w:pStyle w:val="5"/>
        <w:spacing w:line="400" w:lineRule="exact"/>
        <w:ind w:firstLine="360" w:firstLineChars="15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（三）验收方式</w:t>
      </w:r>
    </w:p>
    <w:p>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1.货物到达现场后，供应商应经采购人或其指定验收单位清点品名、规格、数量；检查外观，作出验收记录，双方签字确认。</w:t>
      </w:r>
    </w:p>
    <w:p>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2.供应商应保证货物到达用户所在地完好无损，如有缺漏、损坏，由供应商负责调换、补齐或赔偿。</w:t>
      </w:r>
    </w:p>
    <w:p>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lang w:val="en-US" w:eastAsia="zh-CN"/>
        </w:rPr>
        <w:t>3</w:t>
      </w:r>
      <w:r>
        <w:rPr>
          <w:rFonts w:hint="eastAsia" w:ascii="方正仿宋_GBK" w:hAnsi="宋体" w:eastAsia="方正仿宋_GBK"/>
          <w:color w:val="000000"/>
          <w:sz w:val="24"/>
          <w:szCs w:val="24"/>
        </w:rPr>
        <w:t>供应商提供的货物未达到</w:t>
      </w:r>
      <w:r>
        <w:rPr>
          <w:rFonts w:hint="eastAsia" w:ascii="方正仿宋_GBK" w:hAnsi="宋体" w:eastAsia="方正仿宋_GBK"/>
          <w:color w:val="000000"/>
          <w:sz w:val="24"/>
          <w:szCs w:val="24"/>
          <w:lang w:eastAsia="zh-CN"/>
        </w:rPr>
        <w:t>采购</w:t>
      </w:r>
      <w:r>
        <w:rPr>
          <w:rFonts w:hint="eastAsia" w:ascii="方正仿宋_GBK" w:hAnsi="宋体" w:eastAsia="方正仿宋_GBK"/>
          <w:color w:val="000000"/>
          <w:sz w:val="24"/>
          <w:szCs w:val="24"/>
        </w:rPr>
        <w:t>规定要求，且对采购人造成损失的，由供应商承担一切责任，并赔偿所造成的损失。</w:t>
      </w:r>
    </w:p>
    <w:p>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lang w:val="en-US" w:eastAsia="zh-CN"/>
        </w:rPr>
        <w:t>4</w:t>
      </w:r>
      <w:r>
        <w:rPr>
          <w:rFonts w:hint="eastAsia" w:ascii="方正仿宋_GBK" w:hAnsi="宋体" w:eastAsia="方正仿宋_GBK"/>
          <w:color w:val="000000"/>
          <w:sz w:val="24"/>
          <w:szCs w:val="24"/>
        </w:rPr>
        <w:t>.产品包装材料归采购人所有。</w:t>
      </w:r>
    </w:p>
    <w:p>
      <w:pPr>
        <w:pStyle w:val="2"/>
        <w:spacing w:before="0" w:after="0" w:line="440" w:lineRule="exact"/>
        <w:rPr>
          <w:rFonts w:hint="eastAsia" w:ascii="方正仿宋_GBK" w:hAnsi="宋体" w:eastAsia="方正仿宋_GBK" w:cs="Times New Roman"/>
          <w:b/>
          <w:color w:val="000000"/>
          <w:sz w:val="24"/>
          <w:szCs w:val="24"/>
        </w:rPr>
      </w:pPr>
      <w:r>
        <w:rPr>
          <w:rFonts w:hint="eastAsia" w:ascii="方正仿宋_GBK" w:hAnsi="宋体" w:eastAsia="方正仿宋_GBK" w:cs="Times New Roman"/>
          <w:b/>
          <w:color w:val="000000"/>
          <w:sz w:val="24"/>
          <w:szCs w:val="24"/>
        </w:rPr>
        <w:t>二、质量保证及售后服务</w:t>
      </w:r>
    </w:p>
    <w:p>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（一）产品质量保证期</w:t>
      </w:r>
    </w:p>
    <w:p>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1.自验收合格之日起，</w:t>
      </w:r>
      <w:r>
        <w:rPr>
          <w:rFonts w:hint="eastAsia" w:ascii="方正仿宋_GBK" w:hAnsi="宋体" w:eastAsia="方正仿宋_GBK"/>
          <w:color w:val="000000"/>
          <w:sz w:val="24"/>
          <w:szCs w:val="24"/>
          <w:highlight w:val="none"/>
        </w:rPr>
        <w:t>提供1年免费质保期</w:t>
      </w:r>
      <w:r>
        <w:rPr>
          <w:rFonts w:hint="eastAsia" w:ascii="方正仿宋_GBK" w:hAnsi="宋体" w:eastAsia="方正仿宋_GBK"/>
          <w:color w:val="000000"/>
          <w:sz w:val="24"/>
          <w:szCs w:val="24"/>
        </w:rPr>
        <w:t>。</w:t>
      </w:r>
    </w:p>
    <w:p>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2.采购货物属于国家规定“三包”范围的，其产品质量保证期不得低于“三包”规定。</w:t>
      </w:r>
    </w:p>
    <w:p>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3.供应商的质量保证期承诺优于国家“三包”规定的，按供应商实际承诺执行。</w:t>
      </w:r>
    </w:p>
    <w:p>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4.采购货物由制造商（指产品生产制造商，或其负责销售、售后服务机构，以下同）负责标准售后服务的，应当在</w:t>
      </w:r>
      <w:r>
        <w:rPr>
          <w:rFonts w:hint="eastAsia" w:ascii="方正仿宋_GBK" w:hAnsi="宋体" w:eastAsia="方正仿宋_GBK"/>
          <w:color w:val="000000"/>
          <w:sz w:val="24"/>
          <w:szCs w:val="24"/>
          <w:lang w:eastAsia="zh-CN"/>
        </w:rPr>
        <w:t>响应</w:t>
      </w:r>
      <w:r>
        <w:rPr>
          <w:rFonts w:hint="eastAsia" w:ascii="方正仿宋_GBK" w:hAnsi="宋体" w:eastAsia="方正仿宋_GBK"/>
          <w:color w:val="000000"/>
          <w:sz w:val="24"/>
          <w:szCs w:val="24"/>
        </w:rPr>
        <w:t>文件中予以明确说明,并附制造商售后服务承诺。</w:t>
      </w:r>
    </w:p>
    <w:p>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（二）售后服务内容</w:t>
      </w:r>
    </w:p>
    <w:p>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供应商和制造商在质量保证期内应当为采购人提供以下技术支持服务：</w:t>
      </w:r>
    </w:p>
    <w:p>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1.质量保证期内服务要求</w:t>
      </w:r>
    </w:p>
    <w:p>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电话咨询</w:t>
      </w:r>
    </w:p>
    <w:p>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成交供应商和制造商应当为用户提供技术援助电话，解答用户在使用中遇到的问题，及时为用户提出解决问题的建议。</w:t>
      </w:r>
    </w:p>
    <w:p>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2.质保期外服务要求</w:t>
      </w:r>
    </w:p>
    <w:p>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质量保证期过后，采购人需要继续由原成交供应商和制造商提供售后服务的，成交供应商和制造商应以优惠价格提供售后服务。</w:t>
      </w:r>
    </w:p>
    <w:p>
      <w:pPr>
        <w:pStyle w:val="2"/>
        <w:spacing w:before="0" w:after="0"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三、报价要求</w:t>
      </w:r>
    </w:p>
    <w:p>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报价须为人民币报价，包括完成本项目所需的</w:t>
      </w:r>
      <w:r>
        <w:rPr>
          <w:rFonts w:hint="eastAsia" w:ascii="方正仿宋_GBK" w:hAnsi="宋体" w:eastAsia="方正仿宋_GBK"/>
          <w:color w:val="000000"/>
          <w:sz w:val="24"/>
          <w:szCs w:val="24"/>
          <w:lang w:eastAsia="zh-CN"/>
        </w:rPr>
        <w:t>货物</w:t>
      </w:r>
      <w:r>
        <w:rPr>
          <w:rFonts w:hint="eastAsia" w:ascii="方正仿宋_GBK" w:hAnsi="宋体" w:eastAsia="方正仿宋_GBK"/>
          <w:color w:val="000000"/>
          <w:sz w:val="24"/>
          <w:szCs w:val="24"/>
        </w:rPr>
        <w:t>及各种应纳的税费。因成交供应商自身原因造成漏报、少报皆由其自行承担责任，采购人不再补偿。</w:t>
      </w:r>
    </w:p>
    <w:p>
      <w:pPr>
        <w:pStyle w:val="3"/>
        <w:keepNext/>
        <w:keepLines/>
        <w:adjustRightInd w:val="0"/>
        <w:snapToGrid w:val="0"/>
        <w:spacing w:before="0" w:beforeAutospacing="0" w:after="0" w:afterAutospacing="0" w:line="400" w:lineRule="exact"/>
        <w:jc w:val="both"/>
        <w:rPr>
          <w:rFonts w:hint="eastAsia" w:ascii="方正仿宋_GBK" w:eastAsia="方正仿宋_GBK" w:cs="Times New Roman"/>
          <w:b/>
          <w:color w:val="000000"/>
          <w:kern w:val="2"/>
          <w:sz w:val="24"/>
          <w:szCs w:val="24"/>
        </w:rPr>
      </w:pPr>
      <w:bookmarkStart w:id="0" w:name="_Toc75793512"/>
      <w:bookmarkStart w:id="1" w:name="_Toc267320051"/>
      <w:r>
        <w:rPr>
          <w:rFonts w:hint="eastAsia" w:ascii="方正仿宋_GBK" w:eastAsia="方正仿宋_GBK" w:cs="Times New Roman"/>
          <w:b/>
          <w:color w:val="000000"/>
          <w:kern w:val="2"/>
          <w:sz w:val="24"/>
          <w:szCs w:val="24"/>
        </w:rPr>
        <w:t>四、付款方式</w:t>
      </w:r>
      <w:bookmarkEnd w:id="0"/>
      <w:bookmarkEnd w:id="1"/>
    </w:p>
    <w:p>
      <w:pPr>
        <w:spacing w:line="400" w:lineRule="exact"/>
        <w:ind w:firstLine="720" w:firstLineChars="300"/>
        <w:rPr>
          <w:rFonts w:hint="default" w:ascii="方正仿宋_GBK" w:hAnsi="宋体" w:eastAsia="方正仿宋_GBK"/>
          <w:color w:val="000000"/>
          <w:sz w:val="24"/>
          <w:szCs w:val="24"/>
          <w:highlight w:val="none"/>
          <w:lang w:val="en-US" w:eastAsia="zh-CN"/>
        </w:rPr>
      </w:pPr>
      <w:r>
        <w:rPr>
          <w:rFonts w:hint="eastAsia" w:ascii="仿宋" w:hAnsi="仿宋" w:eastAsia="仿宋" w:cs="仿宋"/>
          <w:color w:val="000000"/>
          <w:sz w:val="24"/>
          <w:szCs w:val="24"/>
          <w:highlight w:val="none"/>
          <w:lang w:eastAsia="zh-CN"/>
        </w:rPr>
        <w:t>货物类</w:t>
      </w:r>
      <w:r>
        <w:rPr>
          <w:rFonts w:hint="eastAsia" w:ascii="仿宋" w:hAnsi="仿宋" w:eastAsia="仿宋" w:cs="仿宋"/>
          <w:color w:val="000000"/>
          <w:sz w:val="24"/>
          <w:szCs w:val="24"/>
          <w:highlight w:val="none"/>
        </w:rPr>
        <w:t>：</w:t>
      </w:r>
      <w:r>
        <w:rPr>
          <w:rFonts w:hint="eastAsia" w:ascii="方正仿宋_GBK" w:hAnsi="宋体" w:eastAsia="方正仿宋_GBK"/>
          <w:color w:val="000000"/>
          <w:sz w:val="24"/>
          <w:szCs w:val="24"/>
          <w:highlight w:val="none"/>
          <w:lang w:val="en-US" w:eastAsia="zh-CN"/>
        </w:rPr>
        <w:t>验收合格后，成交供应商向采购人提供增值税普通（或专用）发票，采购人向成交供应商支付合同全款.</w:t>
      </w:r>
    </w:p>
    <w:p>
      <w:pPr>
        <w:pStyle w:val="2"/>
        <w:spacing w:before="0" w:after="0"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五、知识产权及保密要求</w:t>
      </w:r>
    </w:p>
    <w:p>
      <w:pPr>
        <w:ind w:firstLine="600" w:firstLineChars="25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1.供应商应当保证其有关履行本合同的任何行为不会侵犯任何第三方的知识产权。本项合同全部或任何部分的相关知识产权，包括相关权益，均归采购人所有。采购人将拥有本协议项目下所有成果的完整知识产权。</w:t>
      </w:r>
      <w:r>
        <w:rPr>
          <w:rFonts w:hint="eastAsia" w:ascii="方正仿宋_GBK" w:hAnsi="宋体" w:eastAsia="方正仿宋_GBK" w:cs="宋体"/>
          <w:color w:val="000000"/>
          <w:kern w:val="0"/>
          <w:sz w:val="24"/>
          <w:szCs w:val="24"/>
        </w:rPr>
        <w:t>如果第三方提出侵权指控，</w:t>
      </w:r>
      <w:r>
        <w:rPr>
          <w:rFonts w:hint="eastAsia" w:ascii="方正仿宋_GBK" w:hAnsi="宋体" w:eastAsia="方正仿宋_GBK" w:cs="宋体"/>
          <w:color w:val="000000"/>
          <w:kern w:val="0"/>
          <w:sz w:val="24"/>
          <w:szCs w:val="24"/>
          <w:lang w:eastAsia="zh-CN"/>
        </w:rPr>
        <w:t>供应商</w:t>
      </w:r>
      <w:r>
        <w:rPr>
          <w:rFonts w:hint="eastAsia" w:ascii="方正仿宋_GBK" w:hAnsi="宋体" w:eastAsia="方正仿宋_GBK" w:cs="宋体"/>
          <w:color w:val="000000"/>
          <w:kern w:val="0"/>
          <w:sz w:val="24"/>
          <w:szCs w:val="24"/>
        </w:rPr>
        <w:t>应承担由此而引起的一切法律责任和费用。</w:t>
      </w:r>
    </w:p>
    <w:p>
      <w:pPr>
        <w:spacing w:line="4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注：（若涉及软件开发等服务类项目知识产权的，知识产权归采购人所有）。</w:t>
      </w:r>
    </w:p>
    <w:p>
      <w:pPr>
        <w:pStyle w:val="2"/>
        <w:spacing w:before="0" w:after="0"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六、培训</w:t>
      </w:r>
    </w:p>
    <w:p>
      <w:pPr>
        <w:snapToGrid w:val="0"/>
        <w:spacing w:line="400" w:lineRule="exact"/>
        <w:ind w:firstLine="54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成交供应商须提供对设备的操作培训，使相关使用人员能够正常操作相关设备。</w:t>
      </w:r>
    </w:p>
    <w:p>
      <w:pPr>
        <w:pStyle w:val="2"/>
        <w:spacing w:before="0" w:after="0" w:line="400" w:lineRule="exac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七、其他</w:t>
      </w:r>
    </w:p>
    <w:p>
      <w:pPr>
        <w:snapToGrid w:val="0"/>
        <w:spacing w:line="400" w:lineRule="exact"/>
        <w:ind w:firstLine="540"/>
        <w:rPr>
          <w:rFonts w:hint="eastAsia" w:ascii="方正仿宋_GBK" w:eastAsia="方正仿宋_GBK"/>
          <w:color w:val="000000"/>
          <w:sz w:val="24"/>
          <w:szCs w:val="24"/>
          <w:lang w:eastAsia="zh-CN"/>
        </w:rPr>
      </w:pPr>
      <w:r>
        <w:rPr>
          <w:rFonts w:hint="eastAsia" w:ascii="方正仿宋_GBK" w:eastAsia="方正仿宋_GBK"/>
          <w:color w:val="000000"/>
          <w:sz w:val="24"/>
          <w:szCs w:val="24"/>
          <w:lang w:eastAsia="zh-CN"/>
        </w:rPr>
        <w:t>（一）供应商必须在响应文件中对以上条款和服务承诺明确列出，承诺内容必须达到本篇及其他条款要求。</w:t>
      </w:r>
    </w:p>
    <w:p>
      <w:pPr>
        <w:ind w:firstLine="480" w:firstLineChars="200"/>
        <w:rPr>
          <w:rFonts w:hint="eastAsia" w:ascii="方正仿宋_GBK" w:hAnsi="Times New Roman" w:eastAsia="方正仿宋_GBK" w:cs="Times New Roman"/>
          <w:color w:val="000000"/>
          <w:kern w:val="2"/>
          <w:sz w:val="24"/>
          <w:szCs w:val="24"/>
          <w:lang w:val="en-US" w:eastAsia="zh-CN" w:bidi="ar-SA"/>
        </w:rPr>
        <w:sectPr>
          <w:pgSz w:w="11906" w:h="16838"/>
          <w:pgMar w:top="1157" w:right="1134" w:bottom="1157" w:left="1134" w:header="851" w:footer="992" w:gutter="0"/>
          <w:cols w:space="720" w:num="1"/>
          <w:docGrid w:type="lines" w:linePitch="312" w:charSpace="0"/>
        </w:sectPr>
      </w:pPr>
      <w:r>
        <w:rPr>
          <w:rFonts w:hint="eastAsia" w:ascii="方正仿宋_GBK" w:hAnsi="Times New Roman" w:eastAsia="方正仿宋_GBK" w:cs="Times New Roman"/>
          <w:color w:val="000000"/>
          <w:kern w:val="2"/>
          <w:sz w:val="24"/>
          <w:szCs w:val="24"/>
          <w:lang w:val="en-US" w:eastAsia="zh-CN" w:bidi="ar-SA"/>
        </w:rPr>
        <w:t>（二）其他未尽事宜由供需双方在采购合同中详细约定</w:t>
      </w:r>
      <w:r>
        <w:rPr>
          <w:rFonts w:hint="eastAsia" w:ascii="方正仿宋_GBK" w:eastAsia="方正仿宋_GBK" w:cs="Times New Roman"/>
          <w:color w:val="000000"/>
          <w:kern w:val="2"/>
          <w:sz w:val="24"/>
          <w:szCs w:val="24"/>
          <w:lang w:val="en-US" w:eastAsia="zh-CN" w:bidi="ar-SA"/>
        </w:rPr>
        <w:t>。</w:t>
      </w:r>
    </w:p>
    <w:p>
      <w:pPr>
        <w:rPr>
          <w:rFonts w:hint="eastAsia" w:eastAsia="方正仿宋_GBK"/>
          <w:sz w:val="24"/>
          <w:szCs w:val="24"/>
          <w:lang w:val="en-US" w:eastAsia="zh-CN"/>
        </w:rPr>
      </w:pPr>
      <w:r>
        <w:rPr>
          <w:rFonts w:hint="eastAsia" w:eastAsia="方正仿宋_GBK"/>
          <w:sz w:val="24"/>
          <w:szCs w:val="24"/>
          <w:lang w:val="en-US" w:eastAsia="zh-CN"/>
        </w:rPr>
        <w:t>附件一：采购清单</w:t>
      </w:r>
    </w:p>
    <w:tbl>
      <w:tblPr>
        <w:tblStyle w:val="6"/>
        <w:tblW w:w="13712" w:type="dxa"/>
        <w:jc w:val="center"/>
        <w:tblLayout w:type="fixed"/>
        <w:tblCellMar>
          <w:top w:w="0" w:type="dxa"/>
          <w:left w:w="108" w:type="dxa"/>
          <w:bottom w:w="0" w:type="dxa"/>
          <w:right w:w="108" w:type="dxa"/>
        </w:tblCellMar>
      </w:tblPr>
      <w:tblGrid>
        <w:gridCol w:w="790"/>
        <w:gridCol w:w="2304"/>
        <w:gridCol w:w="1582"/>
        <w:gridCol w:w="5496"/>
        <w:gridCol w:w="872"/>
      </w:tblGrid>
      <w:tr>
        <w:tblPrEx>
          <w:tblCellMar>
            <w:top w:w="0" w:type="dxa"/>
            <w:left w:w="108" w:type="dxa"/>
            <w:bottom w:w="0" w:type="dxa"/>
            <w:right w:w="108" w:type="dxa"/>
          </w:tblCellMar>
        </w:tblPrEx>
        <w:trPr>
          <w:trHeight w:val="870"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黑体"/>
                <w:kern w:val="0"/>
                <w:sz w:val="24"/>
              </w:rPr>
            </w:pPr>
            <w:r>
              <w:rPr>
                <w:rFonts w:hint="default" w:eastAsia="黑体"/>
                <w:kern w:val="0"/>
                <w:sz w:val="24"/>
              </w:rPr>
              <w:t>序号</w:t>
            </w:r>
          </w:p>
        </w:tc>
        <w:tc>
          <w:tcPr>
            <w:tcW w:w="23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黑体"/>
                <w:kern w:val="0"/>
                <w:sz w:val="24"/>
              </w:rPr>
            </w:pPr>
            <w:r>
              <w:rPr>
                <w:rFonts w:hint="default" w:eastAsia="黑体"/>
                <w:kern w:val="0"/>
                <w:sz w:val="24"/>
              </w:rPr>
              <w:t>产品名称</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黑体"/>
                <w:kern w:val="0"/>
                <w:sz w:val="24"/>
              </w:rPr>
            </w:pPr>
            <w:r>
              <w:rPr>
                <w:rFonts w:hint="default" w:eastAsia="黑体"/>
                <w:kern w:val="0"/>
                <w:sz w:val="24"/>
              </w:rPr>
              <w:t>参考图片</w:t>
            </w:r>
          </w:p>
        </w:tc>
        <w:tc>
          <w:tcPr>
            <w:tcW w:w="54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黑体"/>
                <w:kern w:val="0"/>
                <w:sz w:val="24"/>
                <w:lang w:eastAsia="zh-CN"/>
              </w:rPr>
            </w:pPr>
            <w:r>
              <w:rPr>
                <w:rFonts w:hint="default" w:eastAsia="黑体"/>
                <w:kern w:val="0"/>
                <w:sz w:val="24"/>
              </w:rPr>
              <w:t>主要技术参数及功能要求</w:t>
            </w:r>
            <w:r>
              <w:rPr>
                <w:rFonts w:hint="eastAsia" w:eastAsia="黑体"/>
                <w:kern w:val="0"/>
                <w:sz w:val="24"/>
                <w:lang w:eastAsia="zh-CN"/>
              </w:rPr>
              <w:t>（包括性能、材料、结构、外观、安全）</w:t>
            </w:r>
          </w:p>
        </w:tc>
        <w:tc>
          <w:tcPr>
            <w:tcW w:w="872" w:type="dxa"/>
            <w:tcBorders>
              <w:top w:val="single" w:color="auto" w:sz="4" w:space="0"/>
              <w:left w:val="single" w:color="auto" w:sz="4" w:space="0"/>
              <w:bottom w:val="single" w:color="auto" w:sz="4" w:space="0"/>
              <w:right w:val="single" w:color="auto" w:sz="4" w:space="0"/>
            </w:tcBorders>
            <w:noWrap w:val="0"/>
            <w:vAlign w:val="center"/>
          </w:tcPr>
          <w:p>
            <w:pPr>
              <w:rPr>
                <w:rFonts w:hint="default" w:eastAsia="黑体"/>
                <w:sz w:val="24"/>
              </w:rPr>
            </w:pPr>
            <w:r>
              <w:rPr>
                <w:rFonts w:hint="default" w:eastAsia="黑体"/>
                <w:kern w:val="0"/>
                <w:sz w:val="24"/>
              </w:rPr>
              <w:t>数量</w:t>
            </w:r>
          </w:p>
        </w:tc>
      </w:tr>
      <w:tr>
        <w:tblPrEx>
          <w:tblCellMar>
            <w:top w:w="0" w:type="dxa"/>
            <w:left w:w="108" w:type="dxa"/>
            <w:bottom w:w="0" w:type="dxa"/>
            <w:right w:w="108" w:type="dxa"/>
          </w:tblCellMar>
        </w:tblPrEx>
        <w:trPr>
          <w:trHeight w:val="261"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default" w:eastAsia="黑体"/>
                <w:kern w:val="0"/>
                <w:sz w:val="24"/>
              </w:rPr>
            </w:pPr>
            <w:r>
              <w:rPr>
                <w:rFonts w:hint="default" w:eastAsia="黑体"/>
                <w:kern w:val="0"/>
                <w:sz w:val="24"/>
              </w:rPr>
              <w:t>1</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default" w:eastAsia="黑体"/>
                <w:kern w:val="0"/>
                <w:sz w:val="24"/>
              </w:rPr>
              <w:t>金融大赛练功券</w:t>
            </w:r>
            <w:r>
              <w:rPr>
                <w:rFonts w:hint="eastAsia" w:eastAsia="黑体"/>
                <w:kern w:val="0"/>
                <w:sz w:val="24"/>
                <w:lang w:val="en-US" w:eastAsia="zh-CN"/>
              </w:rPr>
              <w:t>100元面额</w:t>
            </w:r>
            <w:r>
              <w:rPr>
                <w:rFonts w:hint="default" w:eastAsia="黑体"/>
                <w:kern w:val="0"/>
                <w:sz w:val="24"/>
              </w:rPr>
              <w:t>　</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drawing>
                <wp:inline distT="0" distB="0" distL="114300" distR="114300">
                  <wp:extent cx="862965" cy="814705"/>
                  <wp:effectExtent l="0" t="0" r="3810" b="4445"/>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pic:cNvPicPr>
                        </pic:nvPicPr>
                        <pic:blipFill>
                          <a:blip r:embed="rId4"/>
                          <a:stretch>
                            <a:fillRect/>
                          </a:stretch>
                        </pic:blipFill>
                        <pic:spPr>
                          <a:xfrm>
                            <a:off x="0" y="0"/>
                            <a:ext cx="862965" cy="814705"/>
                          </a:xfrm>
                          <a:prstGeom prst="rect">
                            <a:avLst/>
                          </a:prstGeom>
                          <a:noFill/>
                          <a:ln>
                            <a:noFill/>
                          </a:ln>
                        </pic:spPr>
                      </pic:pic>
                    </a:graphicData>
                  </a:graphic>
                </wp:inline>
              </w:drawing>
            </w:r>
            <w:r>
              <w:rPr>
                <w:rFonts w:hint="default" w:eastAsia="黑体"/>
                <w:kern w:val="0"/>
                <w:sz w:val="24"/>
              </w:rPr>
              <w:t>　</w:t>
            </w:r>
          </w:p>
        </w:tc>
        <w:tc>
          <w:tcPr>
            <w:tcW w:w="5496"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default" w:eastAsia="黑体"/>
                <w:kern w:val="0"/>
                <w:sz w:val="24"/>
              </w:rPr>
              <w:t>无荧光反应，业务技能培训考核经济型点钞替代品　</w:t>
            </w:r>
          </w:p>
        </w:tc>
        <w:tc>
          <w:tcPr>
            <w:tcW w:w="87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eastAsia" w:eastAsia="黑体"/>
                <w:kern w:val="0"/>
                <w:sz w:val="24"/>
                <w:lang w:val="en-US" w:eastAsia="zh-CN"/>
              </w:rPr>
              <w:t>4箱</w:t>
            </w:r>
            <w:r>
              <w:rPr>
                <w:rFonts w:hint="default" w:eastAsia="黑体"/>
                <w:kern w:val="0"/>
                <w:sz w:val="24"/>
              </w:rPr>
              <w:t>　</w:t>
            </w: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default" w:eastAsia="黑体"/>
                <w:kern w:val="0"/>
                <w:sz w:val="24"/>
              </w:rPr>
            </w:pPr>
            <w:r>
              <w:rPr>
                <w:rFonts w:hint="default" w:eastAsia="黑体"/>
                <w:kern w:val="0"/>
                <w:sz w:val="24"/>
              </w:rPr>
              <w:t>2</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default" w:eastAsia="黑体"/>
                <w:kern w:val="0"/>
                <w:sz w:val="24"/>
              </w:rPr>
              <w:t>金融大赛练功券</w:t>
            </w:r>
            <w:r>
              <w:rPr>
                <w:rFonts w:hint="eastAsia" w:eastAsia="黑体"/>
                <w:kern w:val="0"/>
                <w:sz w:val="24"/>
                <w:lang w:val="en-US" w:eastAsia="zh-CN"/>
              </w:rPr>
              <w:t>50元面额</w:t>
            </w:r>
            <w:r>
              <w:rPr>
                <w:rFonts w:hint="default" w:eastAsia="黑体"/>
                <w:kern w:val="0"/>
                <w:sz w:val="24"/>
              </w:rPr>
              <w:t>　</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drawing>
                <wp:inline distT="0" distB="0" distL="114300" distR="114300">
                  <wp:extent cx="866140" cy="838200"/>
                  <wp:effectExtent l="0" t="0" r="635" b="0"/>
                  <wp:docPr id="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pic:cNvPicPr>
                            <a:picLocks noChangeAspect="1"/>
                          </pic:cNvPicPr>
                        </pic:nvPicPr>
                        <pic:blipFill>
                          <a:blip r:embed="rId5"/>
                          <a:stretch>
                            <a:fillRect/>
                          </a:stretch>
                        </pic:blipFill>
                        <pic:spPr>
                          <a:xfrm>
                            <a:off x="0" y="0"/>
                            <a:ext cx="866140" cy="838200"/>
                          </a:xfrm>
                          <a:prstGeom prst="rect">
                            <a:avLst/>
                          </a:prstGeom>
                          <a:noFill/>
                          <a:ln>
                            <a:noFill/>
                          </a:ln>
                        </pic:spPr>
                      </pic:pic>
                    </a:graphicData>
                  </a:graphic>
                </wp:inline>
              </w:drawing>
            </w: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rPr>
            </w:pPr>
            <w:r>
              <w:rPr>
                <w:rFonts w:hint="default" w:eastAsia="黑体"/>
                <w:kern w:val="0"/>
                <w:sz w:val="24"/>
              </w:rPr>
              <w:t>无荧光反应，业务技能培训考核经济型点钞替代品</w:t>
            </w:r>
          </w:p>
        </w:tc>
        <w:tc>
          <w:tcPr>
            <w:tcW w:w="872"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eastAsia="黑体"/>
                <w:kern w:val="0"/>
                <w:sz w:val="24"/>
              </w:rPr>
            </w:pPr>
            <w:r>
              <w:rPr>
                <w:rFonts w:hint="eastAsia" w:eastAsia="黑体"/>
                <w:kern w:val="0"/>
                <w:sz w:val="24"/>
                <w:lang w:val="en-US" w:eastAsia="zh-CN"/>
              </w:rPr>
              <w:t>4箱</w:t>
            </w: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eastAsia" w:eastAsia="黑体"/>
                <w:kern w:val="0"/>
                <w:sz w:val="24"/>
              </w:rPr>
            </w:pPr>
            <w:r>
              <w:rPr>
                <w:rFonts w:hint="eastAsia" w:eastAsia="黑体"/>
                <w:kern w:val="0"/>
                <w:sz w:val="24"/>
              </w:rPr>
              <w:t>3</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default" w:eastAsia="黑体"/>
                <w:kern w:val="0"/>
                <w:sz w:val="24"/>
              </w:rPr>
              <w:t>金融大赛练功券</w:t>
            </w:r>
            <w:r>
              <w:rPr>
                <w:rFonts w:hint="eastAsia" w:eastAsia="黑体"/>
                <w:kern w:val="0"/>
                <w:sz w:val="24"/>
                <w:lang w:val="en-US" w:eastAsia="zh-CN"/>
              </w:rPr>
              <w:t>20元面额</w:t>
            </w:r>
            <w:r>
              <w:rPr>
                <w:rFonts w:hint="default" w:eastAsia="黑体"/>
                <w:kern w:val="0"/>
                <w:sz w:val="24"/>
              </w:rPr>
              <w:t>　</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drawing>
                <wp:inline distT="0" distB="0" distL="114300" distR="114300">
                  <wp:extent cx="861695" cy="879475"/>
                  <wp:effectExtent l="0" t="0" r="5080" b="6350"/>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pic:cNvPicPr>
                            <a:picLocks noChangeAspect="1"/>
                          </pic:cNvPicPr>
                        </pic:nvPicPr>
                        <pic:blipFill>
                          <a:blip r:embed="rId6"/>
                          <a:stretch>
                            <a:fillRect/>
                          </a:stretch>
                        </pic:blipFill>
                        <pic:spPr>
                          <a:xfrm>
                            <a:off x="0" y="0"/>
                            <a:ext cx="861695" cy="879475"/>
                          </a:xfrm>
                          <a:prstGeom prst="rect">
                            <a:avLst/>
                          </a:prstGeom>
                          <a:noFill/>
                          <a:ln>
                            <a:noFill/>
                          </a:ln>
                        </pic:spPr>
                      </pic:pic>
                    </a:graphicData>
                  </a:graphic>
                </wp:inline>
              </w:drawing>
            </w: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rPr>
            </w:pPr>
            <w:r>
              <w:rPr>
                <w:rFonts w:hint="default" w:eastAsia="黑体"/>
                <w:kern w:val="0"/>
                <w:sz w:val="24"/>
              </w:rPr>
              <w:t>无荧光反应，业务技能培训考核经济型点钞替代品</w:t>
            </w:r>
          </w:p>
        </w:tc>
        <w:tc>
          <w:tcPr>
            <w:tcW w:w="872"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ascii="Times New Roman" w:hAnsi="Times New Roman" w:eastAsia="黑体" w:cs="Times New Roman"/>
                <w:kern w:val="0"/>
                <w:sz w:val="24"/>
                <w:szCs w:val="24"/>
                <w:lang w:val="en-US" w:eastAsia="zh-CN" w:bidi="ar-SA"/>
              </w:rPr>
            </w:pPr>
            <w:r>
              <w:rPr>
                <w:rFonts w:hint="eastAsia" w:eastAsia="黑体"/>
                <w:kern w:val="0"/>
                <w:sz w:val="24"/>
                <w:lang w:val="en-US" w:eastAsia="zh-CN"/>
              </w:rPr>
              <w:t>4箱</w:t>
            </w: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default"/>
                <w:lang w:val="en-US" w:eastAsia="zh-CN"/>
              </w:rPr>
            </w:pPr>
            <w:r>
              <w:rPr>
                <w:rFonts w:hint="eastAsia"/>
                <w:lang w:val="en-US" w:eastAsia="zh-CN"/>
              </w:rPr>
              <w:t>4</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default" w:eastAsia="黑体"/>
                <w:kern w:val="0"/>
                <w:sz w:val="24"/>
              </w:rPr>
              <w:t>金融大赛练功券</w:t>
            </w:r>
            <w:r>
              <w:rPr>
                <w:rFonts w:hint="eastAsia" w:eastAsia="黑体"/>
                <w:kern w:val="0"/>
                <w:sz w:val="24"/>
                <w:lang w:val="en-US" w:eastAsia="zh-CN"/>
              </w:rPr>
              <w:t>10元面额</w:t>
            </w:r>
            <w:r>
              <w:rPr>
                <w:rFonts w:hint="default" w:eastAsia="黑体"/>
                <w:kern w:val="0"/>
                <w:sz w:val="24"/>
              </w:rPr>
              <w:t>　</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drawing>
                <wp:inline distT="0" distB="0" distL="114300" distR="114300">
                  <wp:extent cx="864870" cy="866140"/>
                  <wp:effectExtent l="0" t="0" r="1905" b="635"/>
                  <wp:docPr id="2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pic:cNvPicPr>
                            <a:picLocks noChangeAspect="1"/>
                          </pic:cNvPicPr>
                        </pic:nvPicPr>
                        <pic:blipFill>
                          <a:blip r:embed="rId7"/>
                          <a:stretch>
                            <a:fillRect/>
                          </a:stretch>
                        </pic:blipFill>
                        <pic:spPr>
                          <a:xfrm>
                            <a:off x="0" y="0"/>
                            <a:ext cx="864870" cy="866140"/>
                          </a:xfrm>
                          <a:prstGeom prst="rect">
                            <a:avLst/>
                          </a:prstGeom>
                          <a:noFill/>
                          <a:ln>
                            <a:noFill/>
                          </a:ln>
                        </pic:spPr>
                      </pic:pic>
                    </a:graphicData>
                  </a:graphic>
                </wp:inline>
              </w:drawing>
            </w: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rPr>
            </w:pPr>
            <w:r>
              <w:rPr>
                <w:rFonts w:hint="default" w:eastAsia="黑体"/>
                <w:kern w:val="0"/>
                <w:sz w:val="24"/>
              </w:rPr>
              <w:t>无荧光反应，业务技能培训考核经济型点钞替代品</w:t>
            </w:r>
          </w:p>
        </w:tc>
        <w:tc>
          <w:tcPr>
            <w:tcW w:w="872"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ascii="Times New Roman" w:hAnsi="Times New Roman" w:eastAsia="黑体" w:cs="Times New Roman"/>
                <w:kern w:val="0"/>
                <w:sz w:val="24"/>
                <w:szCs w:val="24"/>
                <w:lang w:val="en-US" w:eastAsia="zh-CN" w:bidi="ar-SA"/>
              </w:rPr>
            </w:pPr>
            <w:r>
              <w:rPr>
                <w:rFonts w:hint="eastAsia" w:eastAsia="黑体"/>
                <w:kern w:val="0"/>
                <w:sz w:val="24"/>
                <w:lang w:val="en-US" w:eastAsia="zh-CN"/>
              </w:rPr>
              <w:t>4箱</w:t>
            </w: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eastAsia" w:eastAsia="黑体"/>
                <w:kern w:val="0"/>
                <w:sz w:val="24"/>
                <w:lang w:val="en-US" w:eastAsia="zh-CN"/>
              </w:rPr>
            </w:pPr>
            <w:r>
              <w:rPr>
                <w:rFonts w:hint="eastAsia" w:eastAsia="黑体"/>
                <w:kern w:val="0"/>
                <w:sz w:val="24"/>
                <w:lang w:val="en-US" w:eastAsia="zh-CN"/>
              </w:rPr>
              <w:t>5</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default" w:eastAsia="黑体"/>
                <w:kern w:val="0"/>
                <w:sz w:val="24"/>
              </w:rPr>
              <w:t>金融大赛练功券</w:t>
            </w:r>
            <w:r>
              <w:rPr>
                <w:rFonts w:hint="eastAsia" w:eastAsia="黑体"/>
                <w:kern w:val="0"/>
                <w:sz w:val="24"/>
                <w:lang w:val="en-US" w:eastAsia="zh-CN"/>
              </w:rPr>
              <w:t>5元面额</w:t>
            </w:r>
            <w:r>
              <w:rPr>
                <w:rFonts w:hint="default" w:eastAsia="黑体"/>
                <w:kern w:val="0"/>
                <w:sz w:val="24"/>
              </w:rPr>
              <w:t>　</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drawing>
                <wp:inline distT="0" distB="0" distL="114300" distR="114300">
                  <wp:extent cx="866140" cy="856615"/>
                  <wp:effectExtent l="0" t="0" r="635" b="635"/>
                  <wp:docPr id="2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9"/>
                          <pic:cNvPicPr>
                            <a:picLocks noChangeAspect="1"/>
                          </pic:cNvPicPr>
                        </pic:nvPicPr>
                        <pic:blipFill>
                          <a:blip r:embed="rId8"/>
                          <a:stretch>
                            <a:fillRect/>
                          </a:stretch>
                        </pic:blipFill>
                        <pic:spPr>
                          <a:xfrm>
                            <a:off x="0" y="0"/>
                            <a:ext cx="866140" cy="856615"/>
                          </a:xfrm>
                          <a:prstGeom prst="rect">
                            <a:avLst/>
                          </a:prstGeom>
                          <a:noFill/>
                          <a:ln>
                            <a:noFill/>
                          </a:ln>
                        </pic:spPr>
                      </pic:pic>
                    </a:graphicData>
                  </a:graphic>
                </wp:inline>
              </w:drawing>
            </w: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rPr>
            </w:pPr>
            <w:r>
              <w:rPr>
                <w:rFonts w:hint="default" w:eastAsia="黑体"/>
                <w:kern w:val="0"/>
                <w:sz w:val="24"/>
              </w:rPr>
              <w:t>无荧光反应，业务技能培训考核经济型点钞替代品</w:t>
            </w:r>
          </w:p>
        </w:tc>
        <w:tc>
          <w:tcPr>
            <w:tcW w:w="872"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ascii="Times New Roman" w:hAnsi="Times New Roman" w:eastAsia="黑体" w:cs="Times New Roman"/>
                <w:kern w:val="0"/>
                <w:sz w:val="24"/>
                <w:szCs w:val="24"/>
                <w:lang w:val="en-US" w:eastAsia="zh-CN" w:bidi="ar-SA"/>
              </w:rPr>
            </w:pPr>
            <w:r>
              <w:rPr>
                <w:rFonts w:hint="eastAsia" w:eastAsia="黑体"/>
                <w:kern w:val="0"/>
                <w:sz w:val="24"/>
                <w:lang w:val="en-US" w:eastAsia="zh-CN"/>
              </w:rPr>
              <w:t>4箱</w:t>
            </w: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eastAsia" w:eastAsia="黑体"/>
                <w:kern w:val="0"/>
                <w:sz w:val="24"/>
                <w:lang w:val="en-US" w:eastAsia="zh-CN"/>
              </w:rPr>
            </w:pPr>
            <w:r>
              <w:rPr>
                <w:rFonts w:hint="eastAsia" w:eastAsia="黑体"/>
                <w:kern w:val="0"/>
                <w:sz w:val="24"/>
                <w:lang w:val="en-US" w:eastAsia="zh-CN"/>
              </w:rPr>
              <w:t>6</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default" w:eastAsia="黑体"/>
                <w:kern w:val="0"/>
                <w:sz w:val="24"/>
              </w:rPr>
              <w:t>金融大赛练功券</w:t>
            </w:r>
            <w:r>
              <w:rPr>
                <w:rFonts w:hint="eastAsia" w:eastAsia="黑体"/>
                <w:kern w:val="0"/>
                <w:sz w:val="24"/>
                <w:lang w:val="en-US" w:eastAsia="zh-CN"/>
              </w:rPr>
              <w:t>2元面额</w:t>
            </w:r>
            <w:r>
              <w:rPr>
                <w:rFonts w:hint="default" w:eastAsia="黑体"/>
                <w:kern w:val="0"/>
                <w:sz w:val="24"/>
              </w:rPr>
              <w:t>　</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drawing>
                <wp:inline distT="0" distB="0" distL="114300" distR="114300">
                  <wp:extent cx="866140" cy="762635"/>
                  <wp:effectExtent l="0" t="0" r="635" b="8890"/>
                  <wp:docPr id="2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pic:cNvPicPr>
                            <a:picLocks noChangeAspect="1"/>
                          </pic:cNvPicPr>
                        </pic:nvPicPr>
                        <pic:blipFill>
                          <a:blip r:embed="rId9"/>
                          <a:stretch>
                            <a:fillRect/>
                          </a:stretch>
                        </pic:blipFill>
                        <pic:spPr>
                          <a:xfrm>
                            <a:off x="0" y="0"/>
                            <a:ext cx="866140" cy="762635"/>
                          </a:xfrm>
                          <a:prstGeom prst="rect">
                            <a:avLst/>
                          </a:prstGeom>
                          <a:noFill/>
                          <a:ln>
                            <a:noFill/>
                          </a:ln>
                        </pic:spPr>
                      </pic:pic>
                    </a:graphicData>
                  </a:graphic>
                </wp:inline>
              </w:drawing>
            </w: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rPr>
            </w:pPr>
            <w:r>
              <w:rPr>
                <w:rFonts w:hint="default" w:eastAsia="黑体"/>
                <w:kern w:val="0"/>
                <w:sz w:val="24"/>
              </w:rPr>
              <w:t>无荧光反应，业务技能培训考核经济型点钞替代品</w:t>
            </w:r>
          </w:p>
        </w:tc>
        <w:tc>
          <w:tcPr>
            <w:tcW w:w="872"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ascii="Times New Roman" w:hAnsi="Times New Roman" w:eastAsia="黑体" w:cs="Times New Roman"/>
                <w:kern w:val="0"/>
                <w:sz w:val="24"/>
                <w:szCs w:val="24"/>
                <w:lang w:val="en-US" w:eastAsia="zh-CN" w:bidi="ar-SA"/>
              </w:rPr>
            </w:pPr>
            <w:r>
              <w:rPr>
                <w:rFonts w:hint="eastAsia" w:eastAsia="黑体"/>
                <w:kern w:val="0"/>
                <w:sz w:val="24"/>
                <w:lang w:val="en-US" w:eastAsia="zh-CN"/>
              </w:rPr>
              <w:t>4箱</w:t>
            </w: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eastAsia" w:eastAsia="黑体"/>
                <w:kern w:val="0"/>
                <w:sz w:val="24"/>
                <w:lang w:val="en-US" w:eastAsia="zh-CN"/>
              </w:rPr>
            </w:pPr>
            <w:r>
              <w:rPr>
                <w:rFonts w:hint="eastAsia" w:eastAsia="黑体"/>
                <w:kern w:val="0"/>
                <w:sz w:val="24"/>
                <w:lang w:val="en-US" w:eastAsia="zh-CN"/>
              </w:rPr>
              <w:t>7</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default" w:eastAsia="黑体"/>
                <w:kern w:val="0"/>
                <w:sz w:val="24"/>
              </w:rPr>
              <w:t>金融大赛练功券</w:t>
            </w:r>
            <w:r>
              <w:rPr>
                <w:rFonts w:hint="eastAsia" w:eastAsia="黑体"/>
                <w:kern w:val="0"/>
                <w:sz w:val="24"/>
                <w:lang w:val="en-US" w:eastAsia="zh-CN"/>
              </w:rPr>
              <w:t>1元面额</w:t>
            </w:r>
            <w:r>
              <w:rPr>
                <w:rFonts w:hint="default" w:eastAsia="黑体"/>
                <w:kern w:val="0"/>
                <w:sz w:val="24"/>
              </w:rPr>
              <w:t>　</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drawing>
                <wp:inline distT="0" distB="0" distL="114300" distR="114300">
                  <wp:extent cx="861695" cy="829945"/>
                  <wp:effectExtent l="0" t="0" r="5080" b="8255"/>
                  <wp:docPr id="2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
                          <pic:cNvPicPr>
                            <a:picLocks noChangeAspect="1"/>
                          </pic:cNvPicPr>
                        </pic:nvPicPr>
                        <pic:blipFill>
                          <a:blip r:embed="rId10"/>
                          <a:stretch>
                            <a:fillRect/>
                          </a:stretch>
                        </pic:blipFill>
                        <pic:spPr>
                          <a:xfrm>
                            <a:off x="0" y="0"/>
                            <a:ext cx="861695" cy="829945"/>
                          </a:xfrm>
                          <a:prstGeom prst="rect">
                            <a:avLst/>
                          </a:prstGeom>
                          <a:noFill/>
                          <a:ln>
                            <a:noFill/>
                          </a:ln>
                        </pic:spPr>
                      </pic:pic>
                    </a:graphicData>
                  </a:graphic>
                </wp:inline>
              </w:drawing>
            </w: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rPr>
            </w:pPr>
            <w:r>
              <w:rPr>
                <w:rFonts w:hint="default" w:eastAsia="黑体"/>
                <w:kern w:val="0"/>
                <w:sz w:val="24"/>
              </w:rPr>
              <w:t>无荧光反应，业务技能培训考核经济型点钞替代品</w:t>
            </w:r>
          </w:p>
        </w:tc>
        <w:tc>
          <w:tcPr>
            <w:tcW w:w="872"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ascii="Times New Roman" w:hAnsi="Times New Roman" w:eastAsia="黑体" w:cs="Times New Roman"/>
                <w:kern w:val="0"/>
                <w:sz w:val="24"/>
                <w:szCs w:val="24"/>
                <w:lang w:val="en-US" w:eastAsia="zh-CN" w:bidi="ar-SA"/>
              </w:rPr>
            </w:pPr>
            <w:r>
              <w:rPr>
                <w:rFonts w:hint="eastAsia" w:eastAsia="黑体"/>
                <w:kern w:val="0"/>
                <w:sz w:val="24"/>
                <w:lang w:val="en-US" w:eastAsia="zh-CN"/>
              </w:rPr>
              <w:t>4箱</w:t>
            </w: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eastAsia" w:eastAsia="黑体"/>
                <w:kern w:val="0"/>
                <w:sz w:val="24"/>
                <w:lang w:val="en-US" w:eastAsia="zh-CN"/>
              </w:rPr>
            </w:pPr>
            <w:r>
              <w:rPr>
                <w:rFonts w:hint="eastAsia" w:eastAsia="黑体"/>
                <w:kern w:val="0"/>
                <w:sz w:val="24"/>
                <w:lang w:val="en-US" w:eastAsia="zh-CN"/>
              </w:rPr>
              <w:t>8</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default" w:eastAsia="黑体"/>
                <w:kern w:val="0"/>
                <w:sz w:val="24"/>
              </w:rPr>
              <w:t>金融大赛练功券</w:t>
            </w:r>
            <w:r>
              <w:rPr>
                <w:rFonts w:hint="eastAsia" w:eastAsia="黑体"/>
                <w:kern w:val="0"/>
                <w:sz w:val="24"/>
                <w:lang w:val="en-US" w:eastAsia="zh-CN"/>
              </w:rPr>
              <w:t>5角面额</w:t>
            </w:r>
            <w:r>
              <w:rPr>
                <w:rFonts w:hint="default" w:eastAsia="黑体"/>
                <w:kern w:val="0"/>
                <w:sz w:val="24"/>
              </w:rPr>
              <w:t>　</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drawing>
                <wp:inline distT="0" distB="0" distL="114300" distR="114300">
                  <wp:extent cx="864870" cy="909955"/>
                  <wp:effectExtent l="0" t="0" r="1905" b="4445"/>
                  <wp:docPr id="2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2"/>
                          <pic:cNvPicPr>
                            <a:picLocks noChangeAspect="1"/>
                          </pic:cNvPicPr>
                        </pic:nvPicPr>
                        <pic:blipFill>
                          <a:blip r:embed="rId11"/>
                          <a:stretch>
                            <a:fillRect/>
                          </a:stretch>
                        </pic:blipFill>
                        <pic:spPr>
                          <a:xfrm>
                            <a:off x="0" y="0"/>
                            <a:ext cx="864870" cy="909955"/>
                          </a:xfrm>
                          <a:prstGeom prst="rect">
                            <a:avLst/>
                          </a:prstGeom>
                          <a:noFill/>
                          <a:ln>
                            <a:noFill/>
                          </a:ln>
                        </pic:spPr>
                      </pic:pic>
                    </a:graphicData>
                  </a:graphic>
                </wp:inline>
              </w:drawing>
            </w: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rPr>
            </w:pPr>
            <w:r>
              <w:rPr>
                <w:rFonts w:hint="default" w:eastAsia="黑体"/>
                <w:kern w:val="0"/>
                <w:sz w:val="24"/>
              </w:rPr>
              <w:t>无荧光反应，业务技能培训考核经济型点钞替代品</w:t>
            </w:r>
          </w:p>
        </w:tc>
        <w:tc>
          <w:tcPr>
            <w:tcW w:w="872"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ascii="Times New Roman" w:hAnsi="Times New Roman" w:eastAsia="黑体" w:cs="Times New Roman"/>
                <w:kern w:val="0"/>
                <w:sz w:val="24"/>
                <w:szCs w:val="24"/>
                <w:lang w:val="en-US" w:eastAsia="zh-CN" w:bidi="ar-SA"/>
              </w:rPr>
            </w:pPr>
            <w:r>
              <w:rPr>
                <w:rFonts w:hint="eastAsia" w:eastAsia="黑体"/>
                <w:kern w:val="0"/>
                <w:sz w:val="24"/>
                <w:lang w:val="en-US" w:eastAsia="zh-CN"/>
              </w:rPr>
              <w:t>4箱</w:t>
            </w:r>
          </w:p>
        </w:tc>
      </w:tr>
      <w:tr>
        <w:tblPrEx>
          <w:tblCellMar>
            <w:top w:w="0" w:type="dxa"/>
            <w:left w:w="108" w:type="dxa"/>
            <w:bottom w:w="0" w:type="dxa"/>
            <w:right w:w="108" w:type="dxa"/>
          </w:tblCellMar>
        </w:tblPrEx>
        <w:trPr>
          <w:trHeight w:val="2056"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eastAsia" w:eastAsia="黑体"/>
                <w:kern w:val="0"/>
                <w:sz w:val="24"/>
                <w:lang w:val="en-US" w:eastAsia="zh-CN"/>
              </w:rPr>
            </w:pPr>
            <w:r>
              <w:rPr>
                <w:rFonts w:hint="eastAsia" w:eastAsia="黑体"/>
                <w:kern w:val="0"/>
                <w:sz w:val="24"/>
                <w:lang w:val="en-US" w:eastAsia="zh-CN"/>
              </w:rPr>
              <w:t>9</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eastAsia" w:eastAsia="黑体"/>
                <w:kern w:val="0"/>
                <w:sz w:val="24"/>
                <w:lang w:eastAsia="zh-CN"/>
              </w:rPr>
            </w:pPr>
            <w:r>
              <w:rPr>
                <w:rFonts w:hint="default" w:eastAsia="黑体"/>
                <w:kern w:val="0"/>
                <w:sz w:val="24"/>
              </w:rPr>
              <w:t>金融大赛比赛专用百张传票（ab、cd、ef</w:t>
            </w:r>
            <w:r>
              <w:rPr>
                <w:rFonts w:hint="eastAsia" w:eastAsia="黑体"/>
                <w:kern w:val="0"/>
                <w:sz w:val="24"/>
                <w:lang w:eastAsia="zh-CN"/>
              </w:rPr>
              <w:t>）</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drawing>
                <wp:inline distT="0" distB="0" distL="114300" distR="114300">
                  <wp:extent cx="864870" cy="1153795"/>
                  <wp:effectExtent l="0" t="0" r="1905" b="8255"/>
                  <wp:docPr id="2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3"/>
                          <pic:cNvPicPr>
                            <a:picLocks noChangeAspect="1"/>
                          </pic:cNvPicPr>
                        </pic:nvPicPr>
                        <pic:blipFill>
                          <a:blip r:embed="rId12"/>
                          <a:stretch>
                            <a:fillRect/>
                          </a:stretch>
                        </pic:blipFill>
                        <pic:spPr>
                          <a:xfrm>
                            <a:off x="0" y="0"/>
                            <a:ext cx="864870" cy="1153795"/>
                          </a:xfrm>
                          <a:prstGeom prst="rect">
                            <a:avLst/>
                          </a:prstGeom>
                          <a:noFill/>
                          <a:ln>
                            <a:noFill/>
                          </a:ln>
                        </pic:spPr>
                      </pic:pic>
                    </a:graphicData>
                  </a:graphic>
                </wp:inline>
              </w:drawing>
            </w: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竞赛专用</w:t>
            </w:r>
          </w:p>
        </w:tc>
        <w:tc>
          <w:tcPr>
            <w:tcW w:w="872"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900本</w:t>
            </w: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10</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eastAsia" w:ascii="Times New Roman" w:hAnsi="Times New Roman" w:eastAsia="黑体" w:cs="Times New Roman"/>
                <w:kern w:val="0"/>
                <w:sz w:val="24"/>
              </w:rPr>
              <w:t>海绵缸和甘油</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drawing>
                <wp:inline distT="0" distB="0" distL="114300" distR="114300">
                  <wp:extent cx="864870" cy="751205"/>
                  <wp:effectExtent l="0" t="0" r="1905" b="1270"/>
                  <wp:docPr id="2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4"/>
                          <pic:cNvPicPr>
                            <a:picLocks noChangeAspect="1"/>
                          </pic:cNvPicPr>
                        </pic:nvPicPr>
                        <pic:blipFill>
                          <a:blip r:embed="rId13"/>
                          <a:stretch>
                            <a:fillRect/>
                          </a:stretch>
                        </pic:blipFill>
                        <pic:spPr>
                          <a:xfrm>
                            <a:off x="0" y="0"/>
                            <a:ext cx="864870" cy="751205"/>
                          </a:xfrm>
                          <a:prstGeom prst="rect">
                            <a:avLst/>
                          </a:prstGeom>
                          <a:noFill/>
                          <a:ln>
                            <a:noFill/>
                          </a:ln>
                        </pic:spPr>
                      </pic:pic>
                    </a:graphicData>
                  </a:graphic>
                </wp:inline>
              </w:drawing>
            </w: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票据、钞票适用</w:t>
            </w:r>
          </w:p>
        </w:tc>
        <w:tc>
          <w:tcPr>
            <w:tcW w:w="872"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140套</w:t>
            </w: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11</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eastAsia" w:ascii="Times New Roman" w:hAnsi="Times New Roman" w:eastAsia="黑体" w:cs="Times New Roman"/>
                <w:kern w:val="0"/>
                <w:sz w:val="24"/>
              </w:rPr>
            </w:pPr>
            <w:r>
              <w:rPr>
                <w:rFonts w:hint="eastAsia" w:ascii="Times New Roman" w:hAnsi="Times New Roman" w:eastAsia="黑体" w:cs="Times New Roman"/>
                <w:kern w:val="0"/>
                <w:sz w:val="24"/>
              </w:rPr>
              <w:t>点钞蜡</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drawing>
                <wp:inline distT="0" distB="0" distL="114300" distR="114300">
                  <wp:extent cx="864870" cy="687705"/>
                  <wp:effectExtent l="0" t="0" r="1905" b="7620"/>
                  <wp:docPr id="2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5"/>
                          <pic:cNvPicPr>
                            <a:picLocks noChangeAspect="1"/>
                          </pic:cNvPicPr>
                        </pic:nvPicPr>
                        <pic:blipFill>
                          <a:blip r:embed="rId14"/>
                          <a:stretch>
                            <a:fillRect/>
                          </a:stretch>
                        </pic:blipFill>
                        <pic:spPr>
                          <a:xfrm>
                            <a:off x="0" y="0"/>
                            <a:ext cx="864870" cy="687705"/>
                          </a:xfrm>
                          <a:prstGeom prst="rect">
                            <a:avLst/>
                          </a:prstGeom>
                          <a:noFill/>
                          <a:ln>
                            <a:noFill/>
                          </a:ln>
                        </pic:spPr>
                      </pic:pic>
                    </a:graphicData>
                  </a:graphic>
                </wp:inline>
              </w:drawing>
            </w: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rPr>
            </w:pPr>
            <w:r>
              <w:rPr>
                <w:rFonts w:hint="eastAsia" w:eastAsia="黑体"/>
                <w:kern w:val="0"/>
                <w:sz w:val="24"/>
                <w:lang w:val="en-US" w:eastAsia="zh-CN"/>
              </w:rPr>
              <w:t>票据、钞票适用</w:t>
            </w:r>
          </w:p>
        </w:tc>
        <w:tc>
          <w:tcPr>
            <w:tcW w:w="872"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140个</w:t>
            </w: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12</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eastAsia" w:ascii="Times New Roman" w:hAnsi="Times New Roman" w:eastAsia="黑体" w:cs="Times New Roman"/>
                <w:kern w:val="0"/>
                <w:sz w:val="24"/>
              </w:rPr>
            </w:pPr>
            <w:r>
              <w:rPr>
                <w:rFonts w:hint="eastAsia" w:ascii="Times New Roman" w:hAnsi="Times New Roman" w:eastAsia="黑体" w:cs="Times New Roman"/>
                <w:kern w:val="0"/>
                <w:sz w:val="24"/>
              </w:rPr>
              <w:t>腰条(52*2cm)</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pPr>
            <w:r>
              <w:drawing>
                <wp:inline distT="0" distB="0" distL="114300" distR="114300">
                  <wp:extent cx="864870" cy="718820"/>
                  <wp:effectExtent l="0" t="0" r="1905" b="5080"/>
                  <wp:docPr id="2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6"/>
                          <pic:cNvPicPr>
                            <a:picLocks noChangeAspect="1"/>
                          </pic:cNvPicPr>
                        </pic:nvPicPr>
                        <pic:blipFill>
                          <a:blip r:embed="rId15"/>
                          <a:stretch>
                            <a:fillRect/>
                          </a:stretch>
                        </pic:blipFill>
                        <pic:spPr>
                          <a:xfrm>
                            <a:off x="0" y="0"/>
                            <a:ext cx="864870" cy="718820"/>
                          </a:xfrm>
                          <a:prstGeom prst="rect">
                            <a:avLst/>
                          </a:prstGeom>
                          <a:noFill/>
                          <a:ln>
                            <a:noFill/>
                          </a:ln>
                        </pic:spPr>
                      </pic:pic>
                    </a:graphicData>
                  </a:graphic>
                </wp:inline>
              </w:drawing>
            </w: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银行柜员办公适用</w:t>
            </w:r>
          </w:p>
        </w:tc>
        <w:tc>
          <w:tcPr>
            <w:tcW w:w="872"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2箱</w:t>
            </w: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13</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eastAsia" w:ascii="Times New Roman" w:hAnsi="Times New Roman" w:eastAsia="黑体" w:cs="Times New Roman"/>
                <w:kern w:val="0"/>
                <w:sz w:val="24"/>
              </w:rPr>
            </w:pPr>
            <w:r>
              <w:rPr>
                <w:rFonts w:hint="eastAsia" w:ascii="Times New Roman" w:hAnsi="Times New Roman" w:eastAsia="黑体" w:cs="Times New Roman"/>
                <w:kern w:val="0"/>
                <w:sz w:val="24"/>
              </w:rPr>
              <w:t>腰条(30*2cm)</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pPr>
            <w:r>
              <w:drawing>
                <wp:inline distT="0" distB="0" distL="114300" distR="114300">
                  <wp:extent cx="864870" cy="718820"/>
                  <wp:effectExtent l="0" t="0" r="1905" b="5080"/>
                  <wp:docPr id="2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7"/>
                          <pic:cNvPicPr>
                            <a:picLocks noChangeAspect="1"/>
                          </pic:cNvPicPr>
                        </pic:nvPicPr>
                        <pic:blipFill>
                          <a:blip r:embed="rId15"/>
                          <a:stretch>
                            <a:fillRect/>
                          </a:stretch>
                        </pic:blipFill>
                        <pic:spPr>
                          <a:xfrm>
                            <a:off x="0" y="0"/>
                            <a:ext cx="864870" cy="718820"/>
                          </a:xfrm>
                          <a:prstGeom prst="rect">
                            <a:avLst/>
                          </a:prstGeom>
                          <a:noFill/>
                          <a:ln>
                            <a:noFill/>
                          </a:ln>
                        </pic:spPr>
                      </pic:pic>
                    </a:graphicData>
                  </a:graphic>
                </wp:inline>
              </w:drawing>
            </w: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eastAsia" w:ascii="Times New Roman" w:hAnsi="Times New Roman" w:eastAsia="黑体" w:cs="Times New Roman"/>
                <w:kern w:val="0"/>
                <w:sz w:val="24"/>
                <w:szCs w:val="24"/>
                <w:lang w:val="en-US" w:eastAsia="zh-CN" w:bidi="ar-SA"/>
              </w:rPr>
            </w:pPr>
            <w:r>
              <w:rPr>
                <w:rFonts w:hint="eastAsia" w:eastAsia="黑体"/>
                <w:kern w:val="0"/>
                <w:sz w:val="24"/>
                <w:lang w:val="en-US" w:eastAsia="zh-CN"/>
              </w:rPr>
              <w:t>银行柜员办公适用</w:t>
            </w:r>
          </w:p>
        </w:tc>
        <w:tc>
          <w:tcPr>
            <w:tcW w:w="872"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eastAsia" w:ascii="Times New Roman" w:hAnsi="Times New Roman" w:eastAsia="黑体" w:cs="Times New Roman"/>
                <w:kern w:val="0"/>
                <w:sz w:val="24"/>
                <w:szCs w:val="24"/>
                <w:lang w:val="en-US" w:eastAsia="zh-CN" w:bidi="ar-SA"/>
              </w:rPr>
            </w:pPr>
            <w:r>
              <w:rPr>
                <w:rFonts w:hint="eastAsia" w:eastAsia="黑体"/>
                <w:kern w:val="0"/>
                <w:sz w:val="24"/>
                <w:lang w:val="en-US" w:eastAsia="zh-CN"/>
              </w:rPr>
              <w:t>5箱</w:t>
            </w: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14</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default" w:eastAsia="黑体"/>
                <w:kern w:val="0"/>
                <w:sz w:val="24"/>
              </w:rPr>
              <w:t>印章</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drawing>
                <wp:inline distT="0" distB="0" distL="114300" distR="114300">
                  <wp:extent cx="867410" cy="939165"/>
                  <wp:effectExtent l="0" t="0" r="8890" b="3810"/>
                  <wp:docPr id="3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8"/>
                          <pic:cNvPicPr>
                            <a:picLocks noChangeAspect="1"/>
                          </pic:cNvPicPr>
                        </pic:nvPicPr>
                        <pic:blipFill>
                          <a:blip r:embed="rId16"/>
                          <a:stretch>
                            <a:fillRect/>
                          </a:stretch>
                        </pic:blipFill>
                        <pic:spPr>
                          <a:xfrm>
                            <a:off x="0" y="0"/>
                            <a:ext cx="867410" cy="939165"/>
                          </a:xfrm>
                          <a:prstGeom prst="rect">
                            <a:avLst/>
                          </a:prstGeom>
                          <a:noFill/>
                          <a:ln>
                            <a:noFill/>
                          </a:ln>
                        </pic:spPr>
                      </pic:pic>
                    </a:graphicData>
                  </a:graphic>
                </wp:inline>
              </w:drawing>
            </w: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印记清晰，即印即干</w:t>
            </w:r>
          </w:p>
        </w:tc>
        <w:tc>
          <w:tcPr>
            <w:tcW w:w="872"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50个</w:t>
            </w:r>
          </w:p>
        </w:tc>
      </w:tr>
    </w:tbl>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rPr>
          <w:rFonts w:hint="default"/>
          <w:lang w:val="en-US"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000000"/>
    <w:rsid w:val="34B94F2D"/>
    <w:rsid w:val="67482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hint="default" w:ascii="宋体" w:hAnsi="Courier New"/>
      <w:szCs w:val="21"/>
    </w:rPr>
  </w:style>
  <w:style w:type="paragraph" w:styleId="5">
    <w:name w:val="Body Text Indent 2"/>
    <w:basedOn w:val="1"/>
    <w:qFormat/>
    <w:uiPriority w:val="0"/>
    <w:pPr>
      <w:snapToGrid w:val="0"/>
      <w:spacing w:line="560" w:lineRule="atLeast"/>
      <w:ind w:firstLine="54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2023-04-28T02:10:00Z</dcterms:created>
  <dc:creator>Judy</dc:creator>
  <cp:lastModifiedBy>Jimmy o.0</cp:lastModifiedBy>
  <dcterms:modified xsi:type="dcterms:W3CDTF">2023-04-28T06:15:22Z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E4EBDBB919684E89B02944F91C057385_12</vt:lpwstr>
  </property>
</Properties>
</file>