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sz w:val="20"/>
        </w:rPr>
      </w:pPr>
    </w:p>
    <w:p>
      <w:pPr>
        <w:tabs>
          <w:tab w:val="left" w:pos="4680"/>
        </w:tabs>
        <w:spacing w:line="800" w:lineRule="exact"/>
        <w:rPr>
          <w:rFonts w:ascii="宋体" w:hAnsi="宋体"/>
          <w:b/>
          <w:sz w:val="48"/>
          <w:szCs w:val="48"/>
        </w:rPr>
      </w:pPr>
    </w:p>
    <w:p>
      <w:pPr>
        <w:tabs>
          <w:tab w:val="left" w:pos="4680"/>
        </w:tabs>
        <w:spacing w:line="800" w:lineRule="exact"/>
        <w:jc w:val="center"/>
        <w:rPr>
          <w:rFonts w:ascii="宋体" w:hAnsi="宋体"/>
          <w:b/>
          <w:spacing w:val="-20"/>
          <w:sz w:val="44"/>
          <w:szCs w:val="44"/>
        </w:rPr>
      </w:pPr>
      <w:r>
        <w:rPr>
          <w:rFonts w:hint="eastAsia" w:ascii="宋体" w:hAnsi="宋体"/>
          <w:b/>
          <w:spacing w:val="-20"/>
          <w:sz w:val="44"/>
          <w:szCs w:val="44"/>
        </w:rPr>
        <w:t>2020年</w:t>
      </w:r>
      <w:r>
        <w:rPr>
          <w:rFonts w:ascii="宋体" w:hAnsi="宋体"/>
          <w:b/>
          <w:spacing w:val="-20"/>
          <w:sz w:val="44"/>
          <w:szCs w:val="44"/>
        </w:rPr>
        <w:t>全国行业职业技能竞赛</w:t>
      </w:r>
      <w:r>
        <w:rPr>
          <w:rFonts w:hint="eastAsia" w:ascii="宋体" w:hAnsi="宋体"/>
          <w:b/>
          <w:spacing w:val="-20"/>
          <w:sz w:val="44"/>
          <w:szCs w:val="44"/>
        </w:rPr>
        <w:t>—</w:t>
      </w:r>
    </w:p>
    <w:p>
      <w:pPr>
        <w:tabs>
          <w:tab w:val="left" w:pos="4680"/>
        </w:tabs>
        <w:spacing w:line="800" w:lineRule="exact"/>
        <w:jc w:val="center"/>
        <w:rPr>
          <w:rFonts w:ascii="宋体" w:hAnsi="宋体"/>
          <w:b/>
          <w:spacing w:val="-20"/>
          <w:sz w:val="44"/>
          <w:szCs w:val="44"/>
        </w:rPr>
      </w:pPr>
      <w:r>
        <w:rPr>
          <w:rFonts w:hint="eastAsia" w:ascii="宋体" w:hAnsi="宋体"/>
          <w:b/>
          <w:spacing w:val="-20"/>
          <w:sz w:val="44"/>
          <w:szCs w:val="44"/>
        </w:rPr>
        <w:t>全国连锁经营行业职业技能竞赛重庆市选拔赛</w:t>
      </w:r>
    </w:p>
    <w:p>
      <w:pPr>
        <w:tabs>
          <w:tab w:val="left" w:pos="4680"/>
        </w:tabs>
        <w:spacing w:line="800" w:lineRule="exact"/>
        <w:jc w:val="center"/>
        <w:rPr>
          <w:rFonts w:ascii="宋体" w:hAnsi="宋体"/>
          <w:b/>
          <w:spacing w:val="-20"/>
          <w:sz w:val="44"/>
          <w:szCs w:val="44"/>
        </w:rPr>
      </w:pPr>
      <w:r>
        <w:rPr>
          <w:rFonts w:hint="eastAsia" w:ascii="宋体" w:hAnsi="宋体"/>
          <w:b/>
          <w:spacing w:val="-20"/>
          <w:sz w:val="44"/>
          <w:szCs w:val="44"/>
        </w:rPr>
        <w:t>商品营业员赛项</w:t>
      </w:r>
    </w:p>
    <w:p>
      <w:pPr>
        <w:tabs>
          <w:tab w:val="left" w:pos="4680"/>
        </w:tabs>
        <w:spacing w:line="800" w:lineRule="exact"/>
        <w:jc w:val="center"/>
        <w:rPr>
          <w:rFonts w:ascii="宋体" w:hAnsi="宋体"/>
          <w:b/>
          <w:spacing w:val="-20"/>
          <w:sz w:val="44"/>
          <w:szCs w:val="44"/>
        </w:rPr>
      </w:pPr>
    </w:p>
    <w:p>
      <w:pPr>
        <w:tabs>
          <w:tab w:val="left" w:pos="4680"/>
        </w:tabs>
        <w:spacing w:line="800" w:lineRule="exact"/>
        <w:jc w:val="center"/>
        <w:rPr>
          <w:rFonts w:ascii="宋体" w:hAnsi="宋体"/>
          <w:b/>
          <w:sz w:val="48"/>
          <w:szCs w:val="48"/>
        </w:rPr>
      </w:pPr>
    </w:p>
    <w:p>
      <w:pPr>
        <w:pStyle w:val="7"/>
        <w:spacing w:before="17"/>
        <w:rPr>
          <w:rFonts w:ascii="微软雅黑"/>
          <w:sz w:val="87"/>
        </w:rPr>
      </w:pPr>
    </w:p>
    <w:p>
      <w:pPr>
        <w:tabs>
          <w:tab w:val="left" w:pos="4680"/>
        </w:tabs>
        <w:spacing w:line="800" w:lineRule="exact"/>
        <w:jc w:val="center"/>
        <w:rPr>
          <w:rFonts w:eastAsia="黑体"/>
          <w:sz w:val="72"/>
          <w:szCs w:val="72"/>
        </w:rPr>
      </w:pPr>
      <w:r>
        <w:rPr>
          <w:rFonts w:hint="eastAsia" w:eastAsia="黑体"/>
          <w:sz w:val="72"/>
          <w:szCs w:val="72"/>
        </w:rPr>
        <w:t>竞赛规程</w:t>
      </w:r>
    </w:p>
    <w:p>
      <w:pPr>
        <w:tabs>
          <w:tab w:val="left" w:pos="4680"/>
        </w:tabs>
        <w:spacing w:line="800" w:lineRule="exact"/>
        <w:jc w:val="center"/>
        <w:rPr>
          <w:rFonts w:eastAsia="黑体"/>
          <w:sz w:val="32"/>
          <w:szCs w:val="32"/>
        </w:rPr>
      </w:pPr>
    </w:p>
    <w:p>
      <w:pPr>
        <w:widowControl/>
        <w:rPr>
          <w:rFonts w:ascii="黑体" w:eastAsia="黑体"/>
          <w:sz w:val="72"/>
        </w:rPr>
      </w:pPr>
    </w:p>
    <w:p>
      <w:pPr>
        <w:widowControl/>
        <w:rPr>
          <w:rFonts w:ascii="黑体" w:eastAsia="黑体"/>
          <w:sz w:val="72"/>
        </w:rPr>
      </w:pPr>
    </w:p>
    <w:p>
      <w:pPr>
        <w:widowControl/>
        <w:rPr>
          <w:rFonts w:ascii="黑体" w:eastAsia="黑体"/>
          <w:sz w:val="72"/>
        </w:rPr>
      </w:pPr>
    </w:p>
    <w:p>
      <w:pPr>
        <w:tabs>
          <w:tab w:val="left" w:pos="4680"/>
        </w:tabs>
        <w:spacing w:line="800" w:lineRule="exact"/>
        <w:jc w:val="center"/>
        <w:rPr>
          <w:rFonts w:ascii="宋体" w:hAnsi="宋体"/>
          <w:sz w:val="36"/>
          <w:szCs w:val="36"/>
        </w:rPr>
      </w:pPr>
      <w:r>
        <w:rPr>
          <w:rFonts w:hint="eastAsia" w:ascii="宋体" w:hAnsi="宋体"/>
          <w:sz w:val="36"/>
          <w:szCs w:val="36"/>
        </w:rPr>
        <w:t>重庆市选拔赛组委会</w:t>
      </w:r>
    </w:p>
    <w:p>
      <w:pPr>
        <w:spacing w:line="570" w:lineRule="exact"/>
        <w:jc w:val="center"/>
        <w:rPr>
          <w:rFonts w:cs="宋体-18030"/>
          <w:b/>
          <w:sz w:val="36"/>
          <w:szCs w:val="36"/>
        </w:rPr>
      </w:pPr>
      <w:r>
        <w:rPr>
          <w:rFonts w:hint="eastAsia"/>
          <w:sz w:val="36"/>
          <w:szCs w:val="36"/>
        </w:rPr>
        <w:t>2020年</w:t>
      </w:r>
      <w:r>
        <w:rPr>
          <w:rFonts w:hint="eastAsia"/>
          <w:sz w:val="36"/>
          <w:szCs w:val="36"/>
          <w:lang w:val="en-US" w:eastAsia="zh-CN"/>
        </w:rPr>
        <w:t>9</w:t>
      </w:r>
      <w:r>
        <w:rPr>
          <w:rFonts w:hint="eastAsia"/>
          <w:sz w:val="36"/>
          <w:szCs w:val="36"/>
        </w:rPr>
        <w:t>月</w:t>
      </w:r>
    </w:p>
    <w:p>
      <w:pPr>
        <w:spacing w:line="480" w:lineRule="exact"/>
        <w:rPr>
          <w:rFonts w:ascii="宋体" w:hAnsi="宋体" w:cs="宋体-18030"/>
          <w:b/>
          <w:szCs w:val="21"/>
        </w:rPr>
        <w:sectPr>
          <w:headerReference r:id="rId3" w:type="default"/>
          <w:type w:val="continuous"/>
          <w:pgSz w:w="11906" w:h="16838"/>
          <w:pgMar w:top="1701" w:right="1525" w:bottom="1701" w:left="1525" w:header="851" w:footer="992" w:gutter="0"/>
          <w:pgNumType w:start="1"/>
          <w:cols w:space="720" w:num="1"/>
          <w:docGrid w:type="linesAndChars" w:linePitch="312" w:charSpace="0"/>
        </w:sectPr>
      </w:pPr>
    </w:p>
    <w:p>
      <w:pPr>
        <w:pStyle w:val="16"/>
        <w:jc w:val="center"/>
        <w:rPr>
          <w:rFonts w:ascii="黑体" w:hAnsi="黑体" w:eastAsia="黑体" w:cs="宋体-18030"/>
          <w:sz w:val="32"/>
          <w:szCs w:val="21"/>
        </w:rPr>
      </w:pPr>
      <w:r>
        <w:rPr>
          <w:rFonts w:hint="eastAsia" w:ascii="黑体" w:hAnsi="黑体" w:eastAsia="黑体" w:cs="宋体-18030"/>
          <w:sz w:val="32"/>
          <w:szCs w:val="21"/>
        </w:rPr>
        <w:t>目   录</w:t>
      </w:r>
    </w:p>
    <w:p>
      <w:pPr>
        <w:pStyle w:val="16"/>
        <w:rPr>
          <w:rFonts w:ascii="宋体" w:hAnsi="宋体" w:cs="宋体-18030"/>
          <w:b w:val="0"/>
          <w:szCs w:val="21"/>
        </w:rPr>
      </w:pPr>
    </w:p>
    <w:p>
      <w:pPr>
        <w:pStyle w:val="16"/>
        <w:spacing w:line="480" w:lineRule="auto"/>
        <w:rPr>
          <w:rFonts w:eastAsiaTheme="minorEastAsia" w:cstheme="minorBidi"/>
          <w:b w:val="0"/>
          <w:bCs w:val="0"/>
          <w:caps w:val="0"/>
          <w:sz w:val="24"/>
          <w:szCs w:val="28"/>
        </w:rPr>
      </w:pPr>
      <w:r>
        <w:rPr>
          <w:rFonts w:ascii="宋体" w:hAnsi="宋体" w:cs="宋体-18030"/>
          <w:b w:val="0"/>
          <w:sz w:val="52"/>
          <w:szCs w:val="44"/>
        </w:rPr>
        <w:fldChar w:fldCharType="begin"/>
      </w:r>
      <w:r>
        <w:rPr>
          <w:rFonts w:ascii="宋体" w:hAnsi="宋体" w:cs="宋体-18030"/>
          <w:b w:val="0"/>
          <w:sz w:val="52"/>
          <w:szCs w:val="44"/>
        </w:rPr>
        <w:instrText xml:space="preserve"> TOC \o "1-3" \h \z \u </w:instrText>
      </w:r>
      <w:r>
        <w:rPr>
          <w:rFonts w:ascii="宋体" w:hAnsi="宋体" w:cs="宋体-18030"/>
          <w:b w:val="0"/>
          <w:sz w:val="52"/>
          <w:szCs w:val="44"/>
        </w:rPr>
        <w:fldChar w:fldCharType="separate"/>
      </w:r>
      <w:r>
        <w:fldChar w:fldCharType="begin"/>
      </w:r>
      <w:r>
        <w:instrText xml:space="preserve"> HYPERLINK \l "_Toc46474576" </w:instrText>
      </w:r>
      <w:r>
        <w:fldChar w:fldCharType="separate"/>
      </w:r>
      <w:r>
        <w:rPr>
          <w:rStyle w:val="27"/>
          <w:sz w:val="22"/>
          <w:szCs w:val="22"/>
        </w:rPr>
        <w:t>一、赛项宗旨</w:t>
      </w:r>
      <w:r>
        <w:rPr>
          <w:sz w:val="22"/>
          <w:szCs w:val="22"/>
        </w:rPr>
        <w:tab/>
      </w:r>
      <w:r>
        <w:rPr>
          <w:sz w:val="22"/>
          <w:szCs w:val="22"/>
        </w:rPr>
        <w:fldChar w:fldCharType="begin"/>
      </w:r>
      <w:r>
        <w:rPr>
          <w:sz w:val="22"/>
          <w:szCs w:val="22"/>
        </w:rPr>
        <w:instrText xml:space="preserve"> PAGEREF _Toc46474576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"_Toc46474577" </w:instrText>
      </w:r>
      <w:r>
        <w:fldChar w:fldCharType="separate"/>
      </w:r>
      <w:r>
        <w:rPr>
          <w:rStyle w:val="27"/>
          <w:sz w:val="22"/>
          <w:szCs w:val="22"/>
        </w:rPr>
        <w:t>二、组织机构</w:t>
      </w:r>
      <w:r>
        <w:rPr>
          <w:sz w:val="22"/>
          <w:szCs w:val="22"/>
        </w:rPr>
        <w:tab/>
      </w:r>
      <w:r>
        <w:rPr>
          <w:sz w:val="22"/>
          <w:szCs w:val="22"/>
        </w:rPr>
        <w:fldChar w:fldCharType="begin"/>
      </w:r>
      <w:r>
        <w:rPr>
          <w:sz w:val="22"/>
          <w:szCs w:val="22"/>
        </w:rPr>
        <w:instrText xml:space="preserve"> PAGEREF _Toc46474577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"_Toc46474578" </w:instrText>
      </w:r>
      <w:r>
        <w:fldChar w:fldCharType="separate"/>
      </w:r>
      <w:r>
        <w:rPr>
          <w:rStyle w:val="27"/>
          <w:sz w:val="22"/>
          <w:szCs w:val="22"/>
        </w:rPr>
        <w:t>三、竞赛组织</w:t>
      </w:r>
      <w:r>
        <w:rPr>
          <w:sz w:val="22"/>
          <w:szCs w:val="22"/>
        </w:rPr>
        <w:tab/>
      </w:r>
      <w:r>
        <w:rPr>
          <w:sz w:val="22"/>
          <w:szCs w:val="22"/>
        </w:rPr>
        <w:fldChar w:fldCharType="begin"/>
      </w:r>
      <w:r>
        <w:rPr>
          <w:sz w:val="22"/>
          <w:szCs w:val="22"/>
        </w:rPr>
        <w:instrText xml:space="preserve"> PAGEREF _Toc46474578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"_Toc46474579" </w:instrText>
      </w:r>
      <w:r>
        <w:fldChar w:fldCharType="separate"/>
      </w:r>
      <w:r>
        <w:rPr>
          <w:rStyle w:val="27"/>
          <w:rFonts w:asciiTheme="minorEastAsia" w:hAnsiTheme="minorEastAsia"/>
          <w:sz w:val="22"/>
          <w:szCs w:val="22"/>
        </w:rPr>
        <w:t>四、参赛对象</w:t>
      </w:r>
      <w:r>
        <w:rPr>
          <w:sz w:val="22"/>
          <w:szCs w:val="22"/>
        </w:rPr>
        <w:tab/>
      </w:r>
      <w:r>
        <w:rPr>
          <w:sz w:val="22"/>
          <w:szCs w:val="22"/>
        </w:rPr>
        <w:fldChar w:fldCharType="begin"/>
      </w:r>
      <w:r>
        <w:rPr>
          <w:sz w:val="22"/>
          <w:szCs w:val="22"/>
        </w:rPr>
        <w:instrText xml:space="preserve"> PAGEREF _Toc46474579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"_Toc46474580" </w:instrText>
      </w:r>
      <w:r>
        <w:fldChar w:fldCharType="separate"/>
      </w:r>
      <w:r>
        <w:rPr>
          <w:rStyle w:val="27"/>
          <w:rFonts w:asciiTheme="minorEastAsia" w:hAnsiTheme="minorEastAsia"/>
          <w:sz w:val="22"/>
          <w:szCs w:val="22"/>
        </w:rPr>
        <w:t>五、考核评分</w:t>
      </w:r>
      <w:r>
        <w:rPr>
          <w:sz w:val="22"/>
          <w:szCs w:val="22"/>
        </w:rPr>
        <w:tab/>
      </w:r>
      <w:r>
        <w:rPr>
          <w:sz w:val="22"/>
          <w:szCs w:val="22"/>
        </w:rPr>
        <w:fldChar w:fldCharType="begin"/>
      </w:r>
      <w:r>
        <w:rPr>
          <w:sz w:val="22"/>
          <w:szCs w:val="22"/>
        </w:rPr>
        <w:instrText xml:space="preserve"> PAGEREF _Toc46474580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"_Toc46474581" </w:instrText>
      </w:r>
      <w:r>
        <w:fldChar w:fldCharType="separate"/>
      </w:r>
      <w:r>
        <w:rPr>
          <w:rStyle w:val="27"/>
          <w:rFonts w:asciiTheme="minorEastAsia" w:hAnsiTheme="minorEastAsia"/>
          <w:sz w:val="22"/>
          <w:szCs w:val="22"/>
        </w:rPr>
        <w:t>六、成绩奖项</w:t>
      </w:r>
      <w:r>
        <w:rPr>
          <w:sz w:val="22"/>
          <w:szCs w:val="22"/>
        </w:rPr>
        <w:tab/>
      </w:r>
      <w:r>
        <w:rPr>
          <w:sz w:val="22"/>
          <w:szCs w:val="22"/>
        </w:rPr>
        <w:fldChar w:fldCharType="begin"/>
      </w:r>
      <w:r>
        <w:rPr>
          <w:sz w:val="22"/>
          <w:szCs w:val="22"/>
        </w:rPr>
        <w:instrText xml:space="preserve"> PAGEREF _Toc46474581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"_Toc46474583" </w:instrText>
      </w:r>
      <w:r>
        <w:fldChar w:fldCharType="separate"/>
      </w:r>
      <w:r>
        <w:rPr>
          <w:rStyle w:val="27"/>
          <w:rFonts w:asciiTheme="minorEastAsia" w:hAnsiTheme="minorEastAsia"/>
          <w:sz w:val="22"/>
          <w:szCs w:val="22"/>
        </w:rPr>
        <w:t>七、竞赛安排</w:t>
      </w:r>
      <w:r>
        <w:rPr>
          <w:sz w:val="22"/>
          <w:szCs w:val="22"/>
        </w:rPr>
        <w:tab/>
      </w:r>
      <w:r>
        <w:rPr>
          <w:sz w:val="22"/>
          <w:szCs w:val="22"/>
        </w:rPr>
        <w:fldChar w:fldCharType="begin"/>
      </w:r>
      <w:r>
        <w:rPr>
          <w:sz w:val="22"/>
          <w:szCs w:val="22"/>
        </w:rPr>
        <w:instrText xml:space="preserve"> PAGEREF _Toc46474583 \h </w:instrText>
      </w:r>
      <w:r>
        <w:rPr>
          <w:sz w:val="22"/>
          <w:szCs w:val="22"/>
        </w:rPr>
        <w:fldChar w:fldCharType="separate"/>
      </w:r>
      <w:r>
        <w:rPr>
          <w:sz w:val="22"/>
          <w:szCs w:val="22"/>
        </w:rPr>
        <w:t>4</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"_Toc46474585" </w:instrText>
      </w:r>
      <w:r>
        <w:fldChar w:fldCharType="separate"/>
      </w:r>
      <w:r>
        <w:rPr>
          <w:rStyle w:val="27"/>
          <w:sz w:val="22"/>
          <w:szCs w:val="22"/>
        </w:rPr>
        <w:t>八、基础设施</w:t>
      </w:r>
      <w:r>
        <w:rPr>
          <w:sz w:val="22"/>
          <w:szCs w:val="22"/>
        </w:rPr>
        <w:tab/>
      </w:r>
      <w:r>
        <w:rPr>
          <w:sz w:val="22"/>
          <w:szCs w:val="22"/>
        </w:rPr>
        <w:fldChar w:fldCharType="begin"/>
      </w:r>
      <w:r>
        <w:rPr>
          <w:sz w:val="22"/>
          <w:szCs w:val="22"/>
        </w:rPr>
        <w:instrText xml:space="preserve"> PAGEREF _Toc46474585 \h </w:instrText>
      </w:r>
      <w:r>
        <w:rPr>
          <w:sz w:val="22"/>
          <w:szCs w:val="22"/>
        </w:rPr>
        <w:fldChar w:fldCharType="separate"/>
      </w:r>
      <w:r>
        <w:rPr>
          <w:sz w:val="22"/>
          <w:szCs w:val="22"/>
        </w:rPr>
        <w:t>5</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"_Toc46474592" </w:instrText>
      </w:r>
      <w:r>
        <w:fldChar w:fldCharType="separate"/>
      </w:r>
      <w:r>
        <w:rPr>
          <w:rStyle w:val="27"/>
          <w:sz w:val="22"/>
          <w:szCs w:val="22"/>
        </w:rPr>
        <w:t>九、申诉与仲裁</w:t>
      </w:r>
      <w:r>
        <w:rPr>
          <w:sz w:val="22"/>
          <w:szCs w:val="22"/>
        </w:rPr>
        <w:tab/>
      </w:r>
      <w:r>
        <w:rPr>
          <w:sz w:val="22"/>
          <w:szCs w:val="22"/>
        </w:rPr>
        <w:fldChar w:fldCharType="begin"/>
      </w:r>
      <w:r>
        <w:rPr>
          <w:sz w:val="22"/>
          <w:szCs w:val="22"/>
        </w:rPr>
        <w:instrText xml:space="preserve"> PAGEREF _Toc46474592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"_Toc46474599" </w:instrText>
      </w:r>
      <w:r>
        <w:fldChar w:fldCharType="separate"/>
      </w:r>
      <w:r>
        <w:rPr>
          <w:rStyle w:val="27"/>
          <w:sz w:val="22"/>
          <w:szCs w:val="22"/>
        </w:rPr>
        <w:t>十、竞赛须知</w:t>
      </w:r>
      <w:r>
        <w:rPr>
          <w:sz w:val="22"/>
          <w:szCs w:val="22"/>
        </w:rPr>
        <w:tab/>
      </w:r>
      <w:r>
        <w:rPr>
          <w:sz w:val="22"/>
          <w:szCs w:val="22"/>
        </w:rPr>
        <w:fldChar w:fldCharType="begin"/>
      </w:r>
      <w:r>
        <w:rPr>
          <w:sz w:val="22"/>
          <w:szCs w:val="22"/>
        </w:rPr>
        <w:instrText xml:space="preserve"> PAGEREF _Toc46474599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"_Toc46474654" </w:instrText>
      </w:r>
      <w:r>
        <w:fldChar w:fldCharType="separate"/>
      </w:r>
      <w:r>
        <w:rPr>
          <w:rStyle w:val="27"/>
          <w:sz w:val="22"/>
          <w:szCs w:val="22"/>
        </w:rPr>
        <w:t>十一、开放现场的要求</w:t>
      </w:r>
      <w:r>
        <w:rPr>
          <w:sz w:val="22"/>
          <w:szCs w:val="22"/>
        </w:rPr>
        <w:tab/>
      </w:r>
      <w:r>
        <w:rPr>
          <w:sz w:val="22"/>
          <w:szCs w:val="22"/>
        </w:rPr>
        <w:fldChar w:fldCharType="begin"/>
      </w:r>
      <w:r>
        <w:rPr>
          <w:sz w:val="22"/>
          <w:szCs w:val="22"/>
        </w:rPr>
        <w:instrText xml:space="preserve"> PAGEREF _Toc46474654 \h </w:instrText>
      </w:r>
      <w:r>
        <w:rPr>
          <w:sz w:val="22"/>
          <w:szCs w:val="22"/>
        </w:rPr>
        <w:fldChar w:fldCharType="separate"/>
      </w:r>
      <w:r>
        <w:rPr>
          <w:sz w:val="22"/>
          <w:szCs w:val="22"/>
        </w:rPr>
        <w:t>10</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"_Toc46474659" </w:instrText>
      </w:r>
      <w:r>
        <w:fldChar w:fldCharType="separate"/>
      </w:r>
      <w:r>
        <w:rPr>
          <w:rStyle w:val="27"/>
          <w:sz w:val="22"/>
          <w:szCs w:val="22"/>
        </w:rPr>
        <w:t>十二、绿色环保</w:t>
      </w:r>
      <w:r>
        <w:rPr>
          <w:sz w:val="22"/>
          <w:szCs w:val="22"/>
        </w:rPr>
        <w:tab/>
      </w:r>
      <w:r>
        <w:rPr>
          <w:sz w:val="22"/>
          <w:szCs w:val="22"/>
        </w:rPr>
        <w:fldChar w:fldCharType="begin"/>
      </w:r>
      <w:r>
        <w:rPr>
          <w:sz w:val="22"/>
          <w:szCs w:val="22"/>
        </w:rPr>
        <w:instrText xml:space="preserve"> PAGEREF _Toc46474659 \h </w:instrText>
      </w:r>
      <w:r>
        <w:rPr>
          <w:sz w:val="22"/>
          <w:szCs w:val="22"/>
        </w:rPr>
        <w:fldChar w:fldCharType="separate"/>
      </w:r>
      <w:r>
        <w:rPr>
          <w:sz w:val="22"/>
          <w:szCs w:val="22"/>
        </w:rPr>
        <w:t>10</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fldChar w:fldCharType="begin"/>
      </w:r>
      <w:r>
        <w:instrText xml:space="preserve"> HYPERLINK \l "_Toc46474661" </w:instrText>
      </w:r>
      <w:r>
        <w:fldChar w:fldCharType="separate"/>
      </w:r>
      <w:r>
        <w:rPr>
          <w:rStyle w:val="27"/>
          <w:sz w:val="22"/>
          <w:szCs w:val="22"/>
        </w:rPr>
        <w:t>十三、联系方式</w:t>
      </w:r>
      <w:r>
        <w:rPr>
          <w:sz w:val="22"/>
          <w:szCs w:val="22"/>
        </w:rPr>
        <w:tab/>
      </w:r>
      <w:r>
        <w:rPr>
          <w:sz w:val="22"/>
          <w:szCs w:val="22"/>
        </w:rPr>
        <w:fldChar w:fldCharType="begin"/>
      </w:r>
      <w:r>
        <w:rPr>
          <w:sz w:val="22"/>
          <w:szCs w:val="22"/>
        </w:rPr>
        <w:instrText xml:space="preserve"> PAGEREF _Toc46474661 \h </w:instrText>
      </w:r>
      <w:r>
        <w:rPr>
          <w:sz w:val="22"/>
          <w:szCs w:val="22"/>
        </w:rPr>
        <w:fldChar w:fldCharType="separate"/>
      </w:r>
      <w:r>
        <w:rPr>
          <w:sz w:val="22"/>
          <w:szCs w:val="22"/>
        </w:rPr>
        <w:t>10</w:t>
      </w:r>
      <w:r>
        <w:rPr>
          <w:sz w:val="22"/>
          <w:szCs w:val="22"/>
        </w:rPr>
        <w:fldChar w:fldCharType="end"/>
      </w:r>
      <w:r>
        <w:rPr>
          <w:sz w:val="22"/>
          <w:szCs w:val="22"/>
        </w:rPr>
        <w:fldChar w:fldCharType="end"/>
      </w:r>
    </w:p>
    <w:p>
      <w:pPr>
        <w:pStyle w:val="16"/>
        <w:spacing w:line="480" w:lineRule="auto"/>
        <w:rPr>
          <w:rFonts w:eastAsiaTheme="minorEastAsia" w:cstheme="minorBidi"/>
          <w:b w:val="0"/>
          <w:bCs w:val="0"/>
          <w:caps w:val="0"/>
          <w:sz w:val="24"/>
          <w:szCs w:val="28"/>
        </w:rPr>
      </w:pPr>
      <w:r>
        <w:rPr>
          <w:rFonts w:ascii="宋体" w:hAnsi="宋体" w:cs="宋体-18030"/>
          <w:b w:val="0"/>
          <w:sz w:val="52"/>
          <w:szCs w:val="44"/>
        </w:rPr>
        <w:fldChar w:fldCharType="end"/>
      </w:r>
    </w:p>
    <w:p>
      <w:pPr>
        <w:widowControl/>
        <w:tabs>
          <w:tab w:val="left" w:pos="2520"/>
        </w:tabs>
        <w:spacing w:line="560" w:lineRule="exact"/>
        <w:jc w:val="center"/>
        <w:rPr>
          <w:rFonts w:asciiTheme="majorEastAsia" w:hAnsiTheme="majorEastAsia" w:eastAsiaTheme="majorEastAsia"/>
          <w:b/>
          <w:sz w:val="28"/>
          <w:szCs w:val="28"/>
        </w:rPr>
        <w:sectPr>
          <w:pgSz w:w="11906" w:h="16838"/>
          <w:pgMar w:top="1701" w:right="1525" w:bottom="1701" w:left="1525" w:header="851" w:footer="992" w:gutter="0"/>
          <w:pgNumType w:start="1"/>
          <w:cols w:space="720" w:num="1"/>
          <w:docGrid w:type="linesAndChars" w:linePitch="312" w:charSpace="0"/>
        </w:sectPr>
      </w:pPr>
    </w:p>
    <w:p>
      <w:pPr>
        <w:widowControl/>
        <w:tabs>
          <w:tab w:val="left" w:pos="2520"/>
        </w:tabs>
        <w:spacing w:line="5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全国连锁经营行业职业技能竞赛重庆市选拔赛</w:t>
      </w:r>
    </w:p>
    <w:p>
      <w:pPr>
        <w:widowControl/>
        <w:tabs>
          <w:tab w:val="left" w:pos="2520"/>
        </w:tabs>
        <w:spacing w:line="5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商品营业员赛项</w:t>
      </w:r>
    </w:p>
    <w:p>
      <w:pPr>
        <w:spacing w:line="480" w:lineRule="exact"/>
        <w:jc w:val="center"/>
        <w:rPr>
          <w:b/>
          <w:sz w:val="30"/>
          <w:szCs w:val="30"/>
        </w:rPr>
      </w:pPr>
      <w:r>
        <w:rPr>
          <w:rFonts w:hint="eastAsia" w:asciiTheme="majorEastAsia" w:hAnsiTheme="majorEastAsia" w:eastAsiaTheme="majorEastAsia"/>
          <w:b/>
          <w:sz w:val="36"/>
          <w:szCs w:val="36"/>
        </w:rPr>
        <w:t>竞赛规程</w:t>
      </w:r>
    </w:p>
    <w:p>
      <w:pPr>
        <w:spacing w:line="570" w:lineRule="exact"/>
        <w:rPr>
          <w:rFonts w:ascii="仿宋_GB2312" w:eastAsia="仿宋_GB2312"/>
          <w:b/>
          <w:sz w:val="30"/>
          <w:szCs w:val="30"/>
        </w:rPr>
      </w:pPr>
      <w:bookmarkStart w:id="0" w:name="_Toc11658_WPSOffice_Level1"/>
      <w:bookmarkStart w:id="1" w:name="_Toc41742018"/>
      <w:bookmarkStart w:id="2" w:name="_Toc486438875"/>
      <w:bookmarkStart w:id="3" w:name="_Toc486438701"/>
      <w:bookmarkStart w:id="4" w:name="_Toc486438817"/>
    </w:p>
    <w:p>
      <w:pPr>
        <w:pStyle w:val="2"/>
        <w:spacing w:before="156" w:beforeLines="50" w:after="0" w:line="360" w:lineRule="auto"/>
        <w:ind w:firstLine="480" w:firstLineChars="200"/>
        <w:rPr>
          <w:sz w:val="24"/>
        </w:rPr>
      </w:pPr>
      <w:bookmarkStart w:id="5" w:name="_Toc46474576"/>
      <w:bookmarkStart w:id="6" w:name="_Toc29577606"/>
      <w:r>
        <w:rPr>
          <w:rFonts w:hint="eastAsia"/>
          <w:sz w:val="24"/>
        </w:rPr>
        <w:t>一、赛项宗旨</w:t>
      </w:r>
      <w:bookmarkEnd w:id="5"/>
      <w:bookmarkEnd w:id="6"/>
    </w:p>
    <w:p>
      <w:pPr>
        <w:spacing w:line="360" w:lineRule="auto"/>
        <w:ind w:firstLine="480" w:firstLineChars="200"/>
        <w:rPr>
          <w:rFonts w:asciiTheme="minorEastAsia" w:hAnsiTheme="minorEastAsia"/>
          <w:sz w:val="24"/>
        </w:rPr>
      </w:pPr>
      <w:r>
        <w:rPr>
          <w:rFonts w:hint="eastAsia" w:asciiTheme="minorEastAsia" w:hAnsiTheme="minorEastAsia"/>
          <w:sz w:val="24"/>
        </w:rPr>
        <w:t>依据商品营业员（4-01-02-03）的主要工作任务，通过举办技能竞赛，</w:t>
      </w:r>
      <w:r>
        <w:rPr>
          <w:rFonts w:asciiTheme="minorEastAsia" w:hAnsiTheme="minorEastAsia"/>
          <w:sz w:val="24"/>
        </w:rPr>
        <w:t>鼓励和引导广大从业人员</w:t>
      </w:r>
      <w:r>
        <w:rPr>
          <w:rFonts w:hint="eastAsia" w:asciiTheme="minorEastAsia" w:hAnsiTheme="minorEastAsia"/>
          <w:sz w:val="24"/>
        </w:rPr>
        <w:t>、</w:t>
      </w:r>
      <w:r>
        <w:rPr>
          <w:rFonts w:asciiTheme="minorEastAsia" w:hAnsiTheme="minorEastAsia"/>
          <w:sz w:val="24"/>
        </w:rPr>
        <w:t>学生积极投入到行业技能研发与技能</w:t>
      </w:r>
      <w:r>
        <w:rPr>
          <w:rFonts w:hint="eastAsia" w:asciiTheme="minorEastAsia" w:hAnsiTheme="minorEastAsia"/>
          <w:sz w:val="24"/>
        </w:rPr>
        <w:t>创新</w:t>
      </w:r>
      <w:r>
        <w:rPr>
          <w:rFonts w:asciiTheme="minorEastAsia" w:hAnsiTheme="minorEastAsia"/>
          <w:sz w:val="24"/>
        </w:rPr>
        <w:t>提升的行列中来，促进成员之间相互交流</w:t>
      </w:r>
      <w:r>
        <w:rPr>
          <w:rFonts w:hint="eastAsia" w:asciiTheme="minorEastAsia" w:hAnsiTheme="minorEastAsia"/>
          <w:sz w:val="24"/>
        </w:rPr>
        <w:t>、</w:t>
      </w:r>
      <w:r>
        <w:rPr>
          <w:rFonts w:asciiTheme="minorEastAsia" w:hAnsiTheme="minorEastAsia"/>
          <w:sz w:val="24"/>
        </w:rPr>
        <w:t>合作</w:t>
      </w:r>
      <w:r>
        <w:rPr>
          <w:rFonts w:hint="eastAsia" w:asciiTheme="minorEastAsia" w:hAnsiTheme="minorEastAsia"/>
          <w:sz w:val="24"/>
        </w:rPr>
        <w:t>，进一步加强全社会对连锁行业的认知，提高行业影响力，</w:t>
      </w:r>
      <w:r>
        <w:rPr>
          <w:rFonts w:asciiTheme="minorEastAsia" w:hAnsiTheme="minorEastAsia"/>
          <w:sz w:val="24"/>
        </w:rPr>
        <w:t>为连锁行业选拔一批理论功底扎实</w:t>
      </w:r>
      <w:r>
        <w:rPr>
          <w:rFonts w:hint="eastAsia" w:asciiTheme="minorEastAsia" w:hAnsiTheme="minorEastAsia"/>
          <w:sz w:val="24"/>
        </w:rPr>
        <w:t>、实操技能过硬的创新型</w:t>
      </w:r>
      <w:r>
        <w:rPr>
          <w:rFonts w:asciiTheme="minorEastAsia" w:hAnsiTheme="minorEastAsia"/>
          <w:sz w:val="24"/>
        </w:rPr>
        <w:t>优秀人才</w:t>
      </w:r>
      <w:r>
        <w:rPr>
          <w:rFonts w:hint="eastAsia" w:asciiTheme="minorEastAsia" w:hAnsiTheme="minorEastAsia"/>
          <w:sz w:val="24"/>
        </w:rPr>
        <w:t>，促进我国连锁行业从业人员职业技能水平提升，为连锁行业蓬勃发展奠定人才基础，满足新时代人民对美好生活的向往。</w:t>
      </w:r>
    </w:p>
    <w:p>
      <w:pPr>
        <w:pStyle w:val="2"/>
        <w:spacing w:before="156" w:beforeLines="50" w:after="0" w:line="360" w:lineRule="auto"/>
        <w:ind w:firstLine="480" w:firstLineChars="200"/>
        <w:rPr>
          <w:sz w:val="24"/>
        </w:rPr>
      </w:pPr>
      <w:bookmarkStart w:id="7" w:name="_Toc46474577"/>
      <w:r>
        <w:rPr>
          <w:rFonts w:hint="eastAsia"/>
          <w:sz w:val="24"/>
        </w:rPr>
        <w:t>二、</w:t>
      </w:r>
      <w:r>
        <w:rPr>
          <w:sz w:val="24"/>
        </w:rPr>
        <w:t>组织机构</w:t>
      </w:r>
      <w:bookmarkEnd w:id="7"/>
    </w:p>
    <w:p>
      <w:pPr>
        <w:spacing w:line="360" w:lineRule="auto"/>
        <w:ind w:firstLine="480" w:firstLineChars="200"/>
        <w:rPr>
          <w:rFonts w:asciiTheme="minorEastAsia" w:hAnsiTheme="minorEastAsia"/>
          <w:sz w:val="24"/>
        </w:rPr>
      </w:pPr>
      <w:r>
        <w:rPr>
          <w:rFonts w:hint="eastAsia" w:asciiTheme="minorEastAsia" w:hAnsiTheme="minorEastAsia"/>
          <w:sz w:val="24"/>
        </w:rPr>
        <w:t>本次竞赛为由重庆市人力资源和社会保障局主办，重庆城市管理职业学院承办，</w:t>
      </w:r>
      <w:r>
        <w:rPr>
          <w:rFonts w:asciiTheme="minorEastAsia" w:hAnsiTheme="minorEastAsia"/>
          <w:sz w:val="24"/>
        </w:rPr>
        <w:t>深圳市中诺思科技股份有限公司</w:t>
      </w:r>
      <w:r>
        <w:rPr>
          <w:rFonts w:hint="eastAsia" w:asciiTheme="minorEastAsia" w:hAnsiTheme="minorEastAsia"/>
          <w:sz w:val="24"/>
        </w:rPr>
        <w:t>协办。</w:t>
      </w:r>
    </w:p>
    <w:p>
      <w:pPr>
        <w:pStyle w:val="2"/>
        <w:spacing w:before="156" w:beforeLines="50" w:after="0" w:line="360" w:lineRule="auto"/>
        <w:ind w:firstLine="480" w:firstLineChars="200"/>
        <w:rPr>
          <w:sz w:val="24"/>
        </w:rPr>
      </w:pPr>
      <w:bookmarkStart w:id="8" w:name="_Toc46474578"/>
      <w:bookmarkStart w:id="9" w:name="_Toc29797003"/>
      <w:bookmarkStart w:id="10" w:name="_Toc29797132"/>
      <w:r>
        <w:rPr>
          <w:rFonts w:hint="eastAsia"/>
          <w:sz w:val="24"/>
        </w:rPr>
        <w:t>三、竞赛组织</w:t>
      </w:r>
      <w:bookmarkEnd w:id="8"/>
    </w:p>
    <w:bookmarkEnd w:id="9"/>
    <w:bookmarkEnd w:id="10"/>
    <w:p>
      <w:pPr>
        <w:pStyle w:val="59"/>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竞赛面向连锁企业职工（含教师）开展，包括商品营业员知识水平测试与技能操作两部分。重庆市选拔赛于10月17日（全国同步）在重庆城市管理职业学院举行。</w:t>
      </w:r>
    </w:p>
    <w:p>
      <w:pPr>
        <w:pStyle w:val="2"/>
        <w:spacing w:before="156" w:beforeLines="50" w:after="0" w:line="360" w:lineRule="auto"/>
        <w:ind w:firstLine="480" w:firstLineChars="200"/>
        <w:rPr>
          <w:rFonts w:asciiTheme="minorEastAsia" w:hAnsiTheme="minorEastAsia" w:eastAsiaTheme="minorEastAsia"/>
          <w:sz w:val="24"/>
          <w:szCs w:val="24"/>
        </w:rPr>
      </w:pPr>
      <w:bookmarkStart w:id="11" w:name="_Toc29797137"/>
      <w:bookmarkStart w:id="12" w:name="_Toc29797008"/>
      <w:bookmarkStart w:id="13" w:name="_Toc46474579"/>
      <w:bookmarkStart w:id="14" w:name="_Toc42633819"/>
      <w:bookmarkStart w:id="15" w:name="_Toc43110941"/>
      <w:r>
        <w:rPr>
          <w:rFonts w:hint="eastAsia" w:asciiTheme="minorEastAsia" w:hAnsiTheme="minorEastAsia" w:eastAsiaTheme="minorEastAsia"/>
          <w:sz w:val="24"/>
          <w:szCs w:val="24"/>
        </w:rPr>
        <w:t>四、参赛</w:t>
      </w:r>
      <w:bookmarkEnd w:id="11"/>
      <w:bookmarkEnd w:id="12"/>
      <w:r>
        <w:rPr>
          <w:rFonts w:hint="eastAsia" w:asciiTheme="minorEastAsia" w:hAnsiTheme="minorEastAsia" w:eastAsiaTheme="minorEastAsia"/>
          <w:sz w:val="24"/>
          <w:szCs w:val="24"/>
        </w:rPr>
        <w:t>对象</w:t>
      </w:r>
      <w:bookmarkEnd w:id="13"/>
      <w:bookmarkEnd w:id="14"/>
      <w:bookmarkEnd w:id="15"/>
    </w:p>
    <w:p>
      <w:pPr>
        <w:pStyle w:val="59"/>
        <w:spacing w:line="360" w:lineRule="auto"/>
        <w:ind w:firstLine="480"/>
        <w:jc w:val="left"/>
        <w:rPr>
          <w:rFonts w:asciiTheme="minorEastAsia" w:hAnsi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020</w:t>
      </w:r>
      <w:r>
        <w:rPr>
          <w:rFonts w:hint="eastAsia" w:asciiTheme="minorEastAsia" w:hAnsiTheme="minorEastAsia" w:eastAsiaTheme="minorEastAsia"/>
          <w:sz w:val="24"/>
        </w:rPr>
        <w:t>年全国行业职业技能竞赛-全国连锁经营行业职业技能竞赛官网审核通过的重庆赛区各参赛队（已完成报名且通过资格审查）</w:t>
      </w:r>
    </w:p>
    <w:p>
      <w:pPr>
        <w:pStyle w:val="2"/>
        <w:spacing w:before="156" w:beforeLines="50" w:after="0" w:line="360" w:lineRule="auto"/>
        <w:ind w:firstLine="480" w:firstLineChars="200"/>
        <w:rPr>
          <w:rFonts w:asciiTheme="minorEastAsia" w:hAnsiTheme="minorEastAsia" w:eastAsiaTheme="minorEastAsia"/>
          <w:sz w:val="24"/>
        </w:rPr>
      </w:pPr>
      <w:bookmarkStart w:id="16" w:name="_Toc29797006"/>
      <w:bookmarkStart w:id="17" w:name="_Toc29797135"/>
      <w:bookmarkStart w:id="18" w:name="_Toc46474580"/>
      <w:bookmarkStart w:id="19" w:name="_Toc42633820"/>
      <w:bookmarkStart w:id="20" w:name="_Toc43110942"/>
      <w:r>
        <w:rPr>
          <w:rFonts w:hint="eastAsia" w:asciiTheme="minorEastAsia" w:hAnsiTheme="minorEastAsia" w:eastAsiaTheme="minorEastAsia"/>
          <w:sz w:val="24"/>
        </w:rPr>
        <w:t>五、考核</w:t>
      </w:r>
      <w:bookmarkEnd w:id="16"/>
      <w:bookmarkEnd w:id="17"/>
      <w:r>
        <w:rPr>
          <w:rFonts w:hint="eastAsia" w:asciiTheme="minorEastAsia" w:hAnsiTheme="minorEastAsia" w:eastAsiaTheme="minorEastAsia"/>
          <w:sz w:val="24"/>
        </w:rPr>
        <w:t>评分</w:t>
      </w:r>
      <w:bookmarkEnd w:id="18"/>
      <w:bookmarkEnd w:id="19"/>
      <w:bookmarkEnd w:id="20"/>
    </w:p>
    <w:p>
      <w:pPr>
        <w:pStyle w:val="21"/>
        <w:spacing w:before="0" w:beforeAutospacing="0" w:after="0" w:afterAutospacing="0" w:line="360" w:lineRule="auto"/>
        <w:ind w:firstLine="480"/>
        <w:rPr>
          <w:rFonts w:asciiTheme="minorEastAsia" w:hAnsiTheme="minorEastAsia" w:eastAsiaTheme="minorEastAsia"/>
          <w:b/>
        </w:rPr>
      </w:pPr>
      <w:r>
        <w:rPr>
          <w:rFonts w:hint="eastAsia" w:asciiTheme="minorEastAsia" w:hAnsiTheme="minorEastAsia" w:eastAsiaTheme="minorEastAsia"/>
          <w:b/>
        </w:rPr>
        <w:t>1.考核形式</w:t>
      </w:r>
    </w:p>
    <w:p>
      <w:pPr>
        <w:pStyle w:val="21"/>
        <w:spacing w:before="0" w:beforeAutospacing="0" w:after="0" w:afterAutospacing="0" w:line="360" w:lineRule="auto"/>
        <w:ind w:firstLine="482"/>
        <w:rPr>
          <w:rFonts w:asciiTheme="minorEastAsia" w:hAnsiTheme="minorEastAsia" w:eastAsiaTheme="minorEastAsia"/>
        </w:rPr>
      </w:pPr>
      <w:r>
        <w:rPr>
          <w:rFonts w:hint="eastAsia" w:asciiTheme="minorEastAsia" w:hAnsiTheme="minorEastAsia" w:eastAsiaTheme="minorEastAsia"/>
        </w:rPr>
        <w:t>竞赛由知识水平测试和技能操作两部分组成。具体考核形式为：</w:t>
      </w:r>
    </w:p>
    <w:p>
      <w:pPr>
        <w:pStyle w:val="21"/>
        <w:spacing w:before="156" w:beforeLines="50" w:beforeAutospacing="0" w:after="0" w:afterAutospacing="0" w:line="360" w:lineRule="auto"/>
        <w:ind w:firstLine="482"/>
        <w:rPr>
          <w:rFonts w:asciiTheme="minorEastAsia" w:hAnsiTheme="minorEastAsia" w:eastAsiaTheme="minorEastAsia"/>
        </w:rPr>
      </w:pPr>
      <w:r>
        <w:rPr>
          <w:rFonts w:hint="eastAsia" w:asciiTheme="minorEastAsia" w:hAnsiTheme="minorEastAsia" w:eastAsiaTheme="minorEastAsia"/>
        </w:rPr>
        <w:t>知识水平测试+营业过程技能展示与答辩</w:t>
      </w:r>
    </w:p>
    <w:p>
      <w:pPr>
        <w:pStyle w:val="21"/>
        <w:spacing w:before="156" w:beforeLines="50" w:beforeAutospacing="0" w:after="0" w:afterAutospacing="0" w:line="360" w:lineRule="auto"/>
        <w:ind w:firstLine="482"/>
        <w:rPr>
          <w:rFonts w:asciiTheme="minorEastAsia" w:hAnsiTheme="minorEastAsia" w:eastAsiaTheme="minorEastAsia"/>
          <w:b/>
        </w:rPr>
      </w:pPr>
      <w:r>
        <w:rPr>
          <w:rFonts w:hint="eastAsia" w:asciiTheme="minorEastAsia" w:hAnsiTheme="minorEastAsia" w:eastAsiaTheme="minorEastAsia"/>
          <w:b/>
        </w:rPr>
        <w:t>2.考核内容</w:t>
      </w:r>
    </w:p>
    <w:p>
      <w:pPr>
        <w:pStyle w:val="21"/>
        <w:spacing w:before="0" w:beforeAutospacing="0" w:after="0" w:afterAutospacing="0" w:line="360" w:lineRule="auto"/>
        <w:ind w:firstLine="482"/>
        <w:rPr>
          <w:rFonts w:asciiTheme="minorEastAsia" w:hAnsiTheme="minorEastAsia" w:eastAsiaTheme="minorEastAsia"/>
        </w:rPr>
      </w:pPr>
      <w:r>
        <w:rPr>
          <w:rFonts w:hint="eastAsia" w:asciiTheme="minorEastAsia" w:hAnsiTheme="minorEastAsia" w:eastAsiaTheme="minorEastAsia"/>
        </w:rPr>
        <w:t>2.1知识水平测试内容主要围绕商品陈列、营销推广、商品销售、顾客服务等理论知识展开。</w:t>
      </w:r>
      <w:r>
        <w:rPr>
          <w:rFonts w:hint="eastAsia" w:cs="宋体" w:asciiTheme="minorEastAsia" w:hAnsiTheme="minorEastAsia" w:eastAsiaTheme="minorEastAsia"/>
        </w:rPr>
        <w:t>通过“连锁直达号”APP自动组卷，</w:t>
      </w:r>
      <w:r>
        <w:rPr>
          <w:rFonts w:hint="eastAsia" w:asciiTheme="minorEastAsia" w:hAnsiTheme="minorEastAsia" w:eastAsiaTheme="minorEastAsia"/>
        </w:rPr>
        <w:t>考试题型为判断、单选和多选。知识水平测试占总成绩40%，考核时间为90分钟。</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2.2营业过程技能展示与答辩主要围绕商品营业员的职业标准与工作任务，充分考虑连锁经营行业多业态的实际情况，由参赛选手结合本单位自身经营场景，选定一款商品，可从营销引流、商品销售、服务与售后等维度进行展示，展示以视频形式呈现，展示后根据评委提出的问题答辩。营业过程展示占总成绩的60%，具体形式如下：</w:t>
      </w:r>
    </w:p>
    <w:p>
      <w:pPr>
        <w:spacing w:line="360" w:lineRule="auto"/>
        <w:ind w:firstLine="480" w:firstLineChars="200"/>
        <w:rPr>
          <w:rFonts w:hAnsi="宋体"/>
          <w:color w:val="000000"/>
          <w:sz w:val="24"/>
        </w:rPr>
      </w:pPr>
      <w:r>
        <w:rPr>
          <w:rFonts w:hint="eastAsia" w:hAnsi="宋体"/>
          <w:color w:val="000000"/>
          <w:sz w:val="24"/>
        </w:rPr>
        <w:t>营业过程技能展示与答辩环节需各参赛选手提前录制技能展示视频</w:t>
      </w:r>
      <w:r>
        <w:rPr>
          <w:rFonts w:hint="eastAsia" w:asciiTheme="majorEastAsia" w:hAnsiTheme="majorEastAsia" w:eastAsiaTheme="majorEastAsia"/>
          <w:sz w:val="24"/>
        </w:rPr>
        <w:t>（视频要求：1.视频时长不超过10分钟；2.视频格式为MP4格式；3.视频增加统一内容的片头，内容是“2020年全国行业职业技能竞赛—全国连锁经营行业职业技能竞赛,商品营业员赛项”、“某某集团+某某省份+队伍名称”、“营业过程展示”等）</w:t>
      </w:r>
      <w:r>
        <w:rPr>
          <w:rFonts w:hint="eastAsia" w:hAnsi="宋体"/>
          <w:color w:val="000000"/>
          <w:sz w:val="24"/>
        </w:rPr>
        <w:t>，并于开赛前一天18点前上传竞赛官网或拷贝至组委会提供的专用U</w:t>
      </w:r>
      <w:r>
        <w:rPr>
          <w:rFonts w:hAnsi="宋体"/>
          <w:color w:val="000000"/>
          <w:sz w:val="24"/>
        </w:rPr>
        <w:t>盘中</w:t>
      </w:r>
      <w:r>
        <w:rPr>
          <w:rFonts w:hint="eastAsia" w:hAnsi="宋体"/>
          <w:color w:val="000000"/>
          <w:sz w:val="24"/>
        </w:rPr>
        <w:t>，比赛当天参赛选手现场与评委互动答辩，每名参赛选手展示互动答辩时间不超过</w:t>
      </w:r>
      <w:r>
        <w:rPr>
          <w:rFonts w:hAnsi="宋体"/>
          <w:color w:val="000000"/>
          <w:sz w:val="24"/>
        </w:rPr>
        <w:t>10</w:t>
      </w:r>
      <w:r>
        <w:rPr>
          <w:rFonts w:hint="eastAsia" w:hAnsi="宋体"/>
          <w:color w:val="000000"/>
          <w:sz w:val="24"/>
        </w:rPr>
        <w:t>分钟。</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3.评分标准</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3.1知识水平测试</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知识水平测试共130题，含判断60题（0.5分/题），单选50题（1分/题），多选20题（1分/题）在题库中随机抽取。选手在答题完毕后系统自动评分。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3.2营业过程技能展示与答辩</w:t>
      </w:r>
    </w:p>
    <w:p>
      <w:pPr>
        <w:pStyle w:val="21"/>
        <w:spacing w:before="0" w:beforeAutospacing="0" w:after="0" w:afterAutospacing="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从营销引流（10分）、商品销售（50分）、服务与售后（20分）、现场答辩（20分）进行评分。</w:t>
      </w:r>
    </w:p>
    <w:tbl>
      <w:tblPr>
        <w:tblStyle w:val="23"/>
        <w:tblW w:w="8860" w:type="dxa"/>
        <w:tblInd w:w="93" w:type="dxa"/>
        <w:tblLayout w:type="autofit"/>
        <w:tblCellMar>
          <w:top w:w="0" w:type="dxa"/>
          <w:left w:w="108" w:type="dxa"/>
          <w:bottom w:w="0" w:type="dxa"/>
          <w:right w:w="108" w:type="dxa"/>
        </w:tblCellMar>
      </w:tblPr>
      <w:tblGrid>
        <w:gridCol w:w="1360"/>
        <w:gridCol w:w="1960"/>
        <w:gridCol w:w="4540"/>
        <w:gridCol w:w="1000"/>
      </w:tblGrid>
      <w:tr>
        <w:tblPrEx>
          <w:tblCellMar>
            <w:top w:w="0" w:type="dxa"/>
            <w:left w:w="108" w:type="dxa"/>
            <w:bottom w:w="0" w:type="dxa"/>
            <w:right w:w="108" w:type="dxa"/>
          </w:tblCellMar>
        </w:tblPrEx>
        <w:trPr>
          <w:trHeight w:val="649"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2"/>
              </w:rPr>
            </w:pPr>
            <w:bookmarkStart w:id="21" w:name="RANGE!A1:D24"/>
            <w:r>
              <w:rPr>
                <w:rFonts w:hint="eastAsia" w:ascii="宋体" w:hAnsi="宋体"/>
                <w:b/>
                <w:bCs/>
                <w:color w:val="000000"/>
                <w:kern w:val="0"/>
                <w:sz w:val="22"/>
              </w:rPr>
              <w:t>评分模块</w:t>
            </w:r>
            <w:bookmarkEnd w:id="21"/>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2"/>
              </w:rPr>
            </w:pPr>
            <w:r>
              <w:rPr>
                <w:rFonts w:hint="eastAsia" w:ascii="宋体" w:hAnsi="宋体"/>
                <w:b/>
                <w:bCs/>
                <w:color w:val="000000"/>
                <w:kern w:val="0"/>
                <w:sz w:val="22"/>
              </w:rPr>
              <w:t>评分内容</w:t>
            </w:r>
          </w:p>
        </w:tc>
        <w:tc>
          <w:tcPr>
            <w:tcW w:w="4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2"/>
              </w:rPr>
            </w:pPr>
            <w:r>
              <w:rPr>
                <w:rFonts w:hint="eastAsia" w:ascii="宋体" w:hAnsi="宋体"/>
                <w:b/>
                <w:bCs/>
                <w:color w:val="000000"/>
                <w:kern w:val="0"/>
                <w:sz w:val="22"/>
              </w:rPr>
              <w:t>考核要点</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2"/>
              </w:rPr>
            </w:pPr>
            <w:r>
              <w:rPr>
                <w:rFonts w:hint="eastAsia" w:ascii="宋体" w:hAnsi="宋体"/>
                <w:b/>
                <w:bCs/>
                <w:color w:val="000000"/>
                <w:kern w:val="0"/>
                <w:sz w:val="22"/>
              </w:rPr>
              <w:t>分值</w:t>
            </w:r>
          </w:p>
        </w:tc>
      </w:tr>
      <w:tr>
        <w:tblPrEx>
          <w:tblCellMar>
            <w:top w:w="0" w:type="dxa"/>
            <w:left w:w="108" w:type="dxa"/>
            <w:bottom w:w="0" w:type="dxa"/>
            <w:right w:w="108" w:type="dxa"/>
          </w:tblCellMar>
        </w:tblPrEx>
        <w:trPr>
          <w:trHeight w:val="649" w:hRule="atLeast"/>
        </w:trPr>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营销引流</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消费人群定位</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基于商品结构，确定目标顾客</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营销实施</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通过多渠道实施营销方案，引流获客</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商品销售</w:t>
            </w:r>
          </w:p>
        </w:tc>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商品推介</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1.基于商品结构，通过提问互动、行为分析等判断顾客需求</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765"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rPr>
            </w:pP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2.结合顾客需求确定推荐商品，介绍商品特征、价值等，内容详实丰富</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rPr>
            </w:pP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3.讲解内容无歧义，与企业公开宣传一致，不夸大商品卖点</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rPr>
            </w:pP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4.适当演示商品，并鼓励顾客试用或试穿等</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rPr>
            </w:pP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5.顾客提问或不同意见答复舒适，有耐心，积极控制销售节奏</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5"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销售达成</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1.有利成交的信息补充介绍</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rPr>
            </w:pP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2.适当时机下促成交易</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rPr>
            </w:pP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3.关联商品或卖场主推的普适性商品推荐</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rPr>
            </w:pP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4.过程中自然的寒暄与适度赞美</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rPr>
            </w:pP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5.交付时核验商品，说明注意事项等</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olor w:val="000000"/>
                <w:kern w:val="0"/>
                <w:sz w:val="22"/>
              </w:rPr>
            </w:pPr>
            <w:r>
              <w:br w:type="page"/>
            </w:r>
            <w:r>
              <w:rPr>
                <w:rFonts w:hint="eastAsia" w:ascii="宋体" w:hAnsi="宋体"/>
                <w:color w:val="000000"/>
                <w:kern w:val="0"/>
                <w:sz w:val="22"/>
              </w:rPr>
              <w:t>服务与售后</w:t>
            </w:r>
          </w:p>
        </w:tc>
        <w:tc>
          <w:tcPr>
            <w:tcW w:w="1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着装规范</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1.按企业要求统一着装，无夸张配饰</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3</w:t>
            </w:r>
          </w:p>
        </w:tc>
      </w:tr>
      <w:tr>
        <w:tblPrEx>
          <w:tblCellMar>
            <w:top w:w="0" w:type="dxa"/>
            <w:left w:w="108" w:type="dxa"/>
            <w:bottom w:w="0" w:type="dxa"/>
            <w:right w:w="108" w:type="dxa"/>
          </w:tblCellMar>
        </w:tblPrEx>
        <w:trPr>
          <w:trHeight w:val="563" w:hRule="atLeast"/>
        </w:trPr>
        <w:tc>
          <w:tcPr>
            <w:tcW w:w="1360"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sz w:val="22"/>
              </w:rPr>
            </w:pPr>
          </w:p>
        </w:tc>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2.仪容仪表，服饰整洁</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3</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sz w:val="22"/>
              </w:rPr>
            </w:pPr>
          </w:p>
        </w:tc>
        <w:tc>
          <w:tcPr>
            <w:tcW w:w="1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精神面貌与姿态</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1.态度亲切，距离合理</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3</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sz w:val="22"/>
              </w:rPr>
            </w:pPr>
          </w:p>
        </w:tc>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2.语言礼貌，音量适中</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3</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sz w:val="22"/>
              </w:rPr>
            </w:pPr>
          </w:p>
        </w:tc>
        <w:tc>
          <w:tcPr>
            <w:tcW w:w="1960"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建立联系</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主动留下联系方式，与顾客建立联系</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3</w:t>
            </w:r>
          </w:p>
        </w:tc>
      </w:tr>
      <w:tr>
        <w:tblPrEx>
          <w:tblCellMar>
            <w:top w:w="0" w:type="dxa"/>
            <w:left w:w="108" w:type="dxa"/>
            <w:bottom w:w="0" w:type="dxa"/>
            <w:right w:w="108" w:type="dxa"/>
          </w:tblCellMar>
        </w:tblPrEx>
        <w:trPr>
          <w:trHeight w:val="649" w:hRule="atLeast"/>
        </w:trPr>
        <w:tc>
          <w:tcPr>
            <w:tcW w:w="1360"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sz w:val="22"/>
              </w:rPr>
            </w:pPr>
          </w:p>
        </w:tc>
        <w:tc>
          <w:tcPr>
            <w:tcW w:w="1960" w:type="dxa"/>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售后接待</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针对商品使用功能或质量等问题耐心解答，积极协调解决</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现场答辩</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专业素养</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掌握商品专业知识</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519" w:hRule="atLeast"/>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现场表达</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精神状态饱满，逻辑清晰，表达流畅</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时间控制</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在规定时间内完成答辩</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视频制作</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2"/>
              </w:rPr>
            </w:pPr>
            <w:r>
              <w:rPr>
                <w:rFonts w:hint="eastAsia" w:ascii="宋体" w:hAnsi="宋体"/>
                <w:color w:val="000000"/>
                <w:kern w:val="0"/>
                <w:sz w:val="22"/>
              </w:rPr>
              <w:t>视频拍摄精致，观看体验好</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649" w:hRule="atLeast"/>
        </w:trPr>
        <w:tc>
          <w:tcPr>
            <w:tcW w:w="7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合计</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100</w:t>
            </w:r>
          </w:p>
        </w:tc>
      </w:tr>
    </w:tbl>
    <w:p>
      <w:pPr>
        <w:pStyle w:val="2"/>
        <w:spacing w:before="0" w:after="0" w:line="360" w:lineRule="auto"/>
        <w:ind w:firstLine="480" w:firstLineChars="200"/>
        <w:rPr>
          <w:rFonts w:asciiTheme="minorEastAsia" w:hAnsiTheme="minorEastAsia" w:eastAsiaTheme="minorEastAsia"/>
          <w:sz w:val="24"/>
          <w:szCs w:val="24"/>
        </w:rPr>
      </w:pPr>
      <w:bookmarkStart w:id="22" w:name="_Toc43110943"/>
      <w:bookmarkStart w:id="23" w:name="_Toc42633821"/>
      <w:bookmarkStart w:id="24" w:name="_Toc46474581"/>
      <w:r>
        <w:rPr>
          <w:rFonts w:hint="eastAsia" w:asciiTheme="minorEastAsia" w:hAnsiTheme="minorEastAsia" w:eastAsiaTheme="minorEastAsia"/>
          <w:sz w:val="24"/>
          <w:szCs w:val="24"/>
        </w:rPr>
        <w:t>六、成绩奖项</w:t>
      </w:r>
      <w:bookmarkEnd w:id="22"/>
      <w:bookmarkEnd w:id="23"/>
      <w:bookmarkEnd w:id="24"/>
    </w:p>
    <w:p>
      <w:pPr>
        <w:spacing w:line="360" w:lineRule="auto"/>
        <w:ind w:firstLine="480" w:firstLineChars="200"/>
        <w:outlineLvl w:val="1"/>
        <w:rPr>
          <w:rFonts w:asciiTheme="minorEastAsia" w:hAnsiTheme="minorEastAsia" w:eastAsiaTheme="minorEastAsia"/>
          <w:b/>
          <w:sz w:val="24"/>
        </w:rPr>
      </w:pPr>
      <w:bookmarkStart w:id="25" w:name="_Toc43110944"/>
      <w:bookmarkStart w:id="26" w:name="_Toc42633822"/>
      <w:bookmarkStart w:id="27" w:name="_Toc46474582"/>
      <w:bookmarkStart w:id="28" w:name="_Toc46231186"/>
      <w:r>
        <w:rPr>
          <w:rFonts w:hint="eastAsia" w:asciiTheme="minorEastAsia" w:hAnsiTheme="minorEastAsia" w:eastAsiaTheme="minorEastAsia"/>
          <w:b/>
          <w:sz w:val="24"/>
        </w:rPr>
        <w:t>（一）成绩计算和排名</w:t>
      </w:r>
      <w:bookmarkEnd w:id="25"/>
      <w:bookmarkEnd w:id="26"/>
      <w:bookmarkEnd w:id="27"/>
      <w:bookmarkEnd w:id="28"/>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1.成绩总分计算方式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知识水平测试成绩×40%+营业过程技能展示与答辩成绩×60%</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2.名次的排序根据选手竞赛总分评定结果从高到低依次排定，各队选手如果竞赛总分相同，按营业过程展示得分高者优先。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3.为保障成绩评判的准确性，监督仲裁组将对赛项总成绩排名前</w:t>
      </w:r>
      <w:r>
        <w:rPr>
          <w:rFonts w:asciiTheme="minorEastAsia" w:hAnsiTheme="minorEastAsia" w:eastAsiaTheme="minorEastAsia"/>
          <w:sz w:val="24"/>
        </w:rPr>
        <w:t>3</w:t>
      </w:r>
      <w:r>
        <w:rPr>
          <w:rFonts w:hint="eastAsia" w:asciiTheme="minorEastAsia" w:hAnsiTheme="minorEastAsia" w:eastAsiaTheme="minorEastAsia"/>
          <w:sz w:val="24"/>
        </w:rPr>
        <w:t>0%的所有参赛选手的成绩进行复核；对其余成绩进行抽检复核，抽检覆盖率不得低于15%。如发现成绩错误以书面方式及时告知裁判长，由裁判长更正成绩并签字确认。复核、抽检错误率超过5%的，裁判组将对所有成绩进行复核。赛项最终得分按100分制计分。最终成绩经复核无误，由裁判长、监督仲裁人员签字确认后公布。</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（二）奖项设定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1.根据国赛参赛名额规定，本次比赛入围决赛名额不超过3支队伍。另，根据成绩排名，每个单元只准一家单位（含集团旗下所有分/子公司）择优选取1名参赛选手入围决赛。</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2.竞赛设一、二、三等奖。按照竞赛总成绩由大到小排序，以参赛选手总数为基数，一、二、三等奖获奖比例分别为10%、20%、30%（小数点后四舍五入），获奖选手颁发荣誉证书。</w:t>
      </w:r>
    </w:p>
    <w:p>
      <w:pPr>
        <w:pStyle w:val="2"/>
        <w:spacing w:before="156" w:beforeLines="50" w:line="360" w:lineRule="auto"/>
        <w:rPr>
          <w:rFonts w:ascii="宋体" w:hAnsi="宋体" w:cs="宋体"/>
          <w:b w:val="0"/>
          <w:kern w:val="0"/>
          <w:sz w:val="24"/>
        </w:rPr>
      </w:pPr>
      <w:bookmarkStart w:id="29" w:name="_Toc42633823"/>
      <w:bookmarkStart w:id="30" w:name="_Toc46474583"/>
      <w:bookmarkStart w:id="31" w:name="_Toc43110945"/>
      <w:r>
        <w:rPr>
          <w:rFonts w:hint="eastAsia" w:asciiTheme="minorEastAsia" w:hAnsiTheme="minorEastAsia" w:eastAsiaTheme="minorEastAsia"/>
          <w:sz w:val="24"/>
          <w:szCs w:val="24"/>
        </w:rPr>
        <w:t>七、竞赛安排</w:t>
      </w:r>
      <w:bookmarkEnd w:id="29"/>
      <w:bookmarkEnd w:id="30"/>
      <w:bookmarkEnd w:id="31"/>
    </w:p>
    <w:p>
      <w:pPr>
        <w:autoSpaceDE w:val="0"/>
        <w:autoSpaceDN w:val="0"/>
        <w:spacing w:before="4" w:line="360" w:lineRule="auto"/>
        <w:ind w:right="275"/>
        <w:jc w:val="center"/>
        <w:rPr>
          <w:rFonts w:ascii="宋体" w:hAnsi="宋体" w:cs="宋体"/>
          <w:b/>
          <w:kern w:val="0"/>
          <w:sz w:val="24"/>
        </w:rPr>
      </w:pPr>
      <w:r>
        <w:rPr>
          <w:rFonts w:hint="eastAsia" w:ascii="宋体" w:hAnsi="宋体" w:cs="宋体"/>
          <w:b/>
          <w:kern w:val="0"/>
          <w:sz w:val="24"/>
        </w:rPr>
        <w:t>竞赛日程</w:t>
      </w:r>
    </w:p>
    <w:tbl>
      <w:tblPr>
        <w:tblStyle w:val="63"/>
        <w:tblpPr w:leftFromText="180" w:rightFromText="180" w:vertAnchor="text" w:tblpXSpec="center" w:tblpY="1"/>
        <w:tblOverlap w:val="never"/>
        <w:tblW w:w="79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1843"/>
        <w:gridCol w:w="4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133" w:type="dxa"/>
            <w:vAlign w:val="center"/>
          </w:tcPr>
          <w:p>
            <w:pPr>
              <w:autoSpaceDE w:val="0"/>
              <w:autoSpaceDN w:val="0"/>
              <w:spacing w:before="94" w:line="360" w:lineRule="auto"/>
              <w:ind w:left="306"/>
              <w:jc w:val="center"/>
              <w:rPr>
                <w:rFonts w:asciiTheme="minorEastAsia" w:hAnsiTheme="minorEastAsia" w:eastAsiaTheme="minorEastAsia" w:cstheme="minorBidi"/>
                <w:b/>
                <w:sz w:val="24"/>
                <w:lang w:eastAsia="en-US"/>
              </w:rPr>
            </w:pPr>
            <w:r>
              <w:rPr>
                <w:rFonts w:hint="eastAsia" w:asciiTheme="minorEastAsia" w:hAnsiTheme="minorEastAsia" w:eastAsiaTheme="minorEastAsia" w:cstheme="minorBidi"/>
                <w:b/>
                <w:sz w:val="24"/>
                <w:lang w:eastAsia="en-US"/>
              </w:rPr>
              <w:t>日期</w:t>
            </w:r>
          </w:p>
        </w:tc>
        <w:tc>
          <w:tcPr>
            <w:tcW w:w="1843" w:type="dxa"/>
            <w:vAlign w:val="center"/>
          </w:tcPr>
          <w:p>
            <w:pPr>
              <w:autoSpaceDE w:val="0"/>
              <w:autoSpaceDN w:val="0"/>
              <w:spacing w:before="94" w:line="360" w:lineRule="auto"/>
              <w:ind w:left="98" w:right="98"/>
              <w:jc w:val="center"/>
              <w:rPr>
                <w:rFonts w:asciiTheme="minorEastAsia" w:hAnsiTheme="minorEastAsia" w:eastAsiaTheme="minorEastAsia" w:cstheme="minorBidi"/>
                <w:b/>
                <w:sz w:val="24"/>
                <w:lang w:eastAsia="en-US"/>
              </w:rPr>
            </w:pPr>
            <w:r>
              <w:rPr>
                <w:rFonts w:hint="eastAsia" w:asciiTheme="minorEastAsia" w:hAnsiTheme="minorEastAsia" w:eastAsiaTheme="minorEastAsia" w:cstheme="minorBidi"/>
                <w:b/>
                <w:sz w:val="24"/>
                <w:lang w:eastAsia="en-US"/>
              </w:rPr>
              <w:t>时间</w:t>
            </w:r>
          </w:p>
        </w:tc>
        <w:tc>
          <w:tcPr>
            <w:tcW w:w="4932" w:type="dxa"/>
            <w:vAlign w:val="center"/>
          </w:tcPr>
          <w:p>
            <w:pPr>
              <w:autoSpaceDE w:val="0"/>
              <w:autoSpaceDN w:val="0"/>
              <w:spacing w:before="94" w:line="360" w:lineRule="auto"/>
              <w:ind w:left="69" w:right="69"/>
              <w:jc w:val="center"/>
              <w:rPr>
                <w:rFonts w:asciiTheme="minorEastAsia" w:hAnsiTheme="minorEastAsia" w:eastAsiaTheme="minorEastAsia" w:cstheme="minorBidi"/>
                <w:b/>
                <w:sz w:val="24"/>
                <w:lang w:eastAsia="en-US"/>
              </w:rPr>
            </w:pPr>
            <w:r>
              <w:rPr>
                <w:rFonts w:hint="eastAsia" w:asciiTheme="minorEastAsia" w:hAnsiTheme="minorEastAsia" w:eastAsiaTheme="minorEastAsia" w:cstheme="minorBidi"/>
                <w:b/>
                <w:sz w:val="24"/>
                <w:lang w:eastAsia="en-US"/>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restart"/>
            <w:vAlign w:val="center"/>
          </w:tcPr>
          <w:p>
            <w:pPr>
              <w:autoSpaceDE w:val="0"/>
              <w:autoSpaceDN w:val="0"/>
              <w:spacing w:before="94" w:line="360" w:lineRule="auto"/>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10月16日</w:t>
            </w:r>
          </w:p>
        </w:tc>
        <w:tc>
          <w:tcPr>
            <w:tcW w:w="1843" w:type="dxa"/>
            <w:vAlign w:val="center"/>
          </w:tcPr>
          <w:p>
            <w:pPr>
              <w:autoSpaceDE w:val="0"/>
              <w:autoSpaceDN w:val="0"/>
              <w:spacing w:before="94" w:line="360" w:lineRule="auto"/>
              <w:ind w:left="104" w:right="98"/>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14:00-15:30</w:t>
            </w:r>
          </w:p>
        </w:tc>
        <w:tc>
          <w:tcPr>
            <w:tcW w:w="4932" w:type="dxa"/>
            <w:vAlign w:val="center"/>
          </w:tcPr>
          <w:p>
            <w:pPr>
              <w:autoSpaceDE w:val="0"/>
              <w:autoSpaceDN w:val="0"/>
              <w:spacing w:before="94" w:line="360" w:lineRule="auto"/>
              <w:ind w:left="104" w:right="69"/>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3" w:type="dxa"/>
            <w:vMerge w:val="continue"/>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p>
        </w:tc>
        <w:tc>
          <w:tcPr>
            <w:tcW w:w="1843" w:type="dxa"/>
            <w:vAlign w:val="center"/>
          </w:tcPr>
          <w:p>
            <w:pPr>
              <w:autoSpaceDE w:val="0"/>
              <w:autoSpaceDN w:val="0"/>
              <w:spacing w:before="94" w:line="360" w:lineRule="auto"/>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15:30-17:00</w:t>
            </w:r>
          </w:p>
        </w:tc>
        <w:tc>
          <w:tcPr>
            <w:tcW w:w="4932" w:type="dxa"/>
            <w:vAlign w:val="center"/>
          </w:tcPr>
          <w:p>
            <w:pPr>
              <w:autoSpaceDE w:val="0"/>
              <w:autoSpaceDN w:val="0"/>
              <w:spacing w:before="94" w:line="360" w:lineRule="auto"/>
              <w:ind w:left="104"/>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开赛式、领队会议、抽签、熟悉赛场等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before="94" w:line="360" w:lineRule="auto"/>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10月17日</w:t>
            </w:r>
          </w:p>
        </w:tc>
        <w:tc>
          <w:tcPr>
            <w:tcW w:w="1843" w:type="dxa"/>
            <w:tcBorders>
              <w:left w:val="single" w:color="auto" w:sz="4" w:space="0"/>
            </w:tcBorders>
            <w:vAlign w:val="center"/>
          </w:tcPr>
          <w:p>
            <w:pPr>
              <w:autoSpaceDE w:val="0"/>
              <w:autoSpaceDN w:val="0"/>
              <w:spacing w:before="94" w:line="360" w:lineRule="auto"/>
              <w:ind w:left="104" w:right="98"/>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08:30-10:00</w:t>
            </w:r>
          </w:p>
        </w:tc>
        <w:tc>
          <w:tcPr>
            <w:tcW w:w="4932" w:type="dxa"/>
            <w:vAlign w:val="center"/>
          </w:tcPr>
          <w:p>
            <w:pPr>
              <w:autoSpaceDE w:val="0"/>
              <w:autoSpaceDN w:val="0"/>
              <w:spacing w:before="94" w:line="360" w:lineRule="auto"/>
              <w:ind w:left="104" w:right="69"/>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商品营业员知识水平测试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94" w:line="360" w:lineRule="auto"/>
              <w:jc w:val="center"/>
              <w:rPr>
                <w:rFonts w:asciiTheme="minorEastAsia" w:hAnsiTheme="minorEastAsia" w:eastAsiaTheme="minorEastAsia" w:cstheme="minorBidi"/>
                <w:sz w:val="24"/>
                <w:lang w:eastAsia="en-US"/>
              </w:rPr>
            </w:pPr>
          </w:p>
        </w:tc>
        <w:tc>
          <w:tcPr>
            <w:tcW w:w="1843" w:type="dxa"/>
            <w:tcBorders>
              <w:left w:val="single" w:color="auto" w:sz="4" w:space="0"/>
            </w:tcBorders>
            <w:vAlign w:val="center"/>
          </w:tcPr>
          <w:p>
            <w:pPr>
              <w:autoSpaceDE w:val="0"/>
              <w:autoSpaceDN w:val="0"/>
              <w:spacing w:before="94" w:line="360" w:lineRule="auto"/>
              <w:ind w:left="104" w:right="98"/>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10:00-13:30</w:t>
            </w:r>
          </w:p>
        </w:tc>
        <w:tc>
          <w:tcPr>
            <w:tcW w:w="4932" w:type="dxa"/>
            <w:vAlign w:val="center"/>
          </w:tcPr>
          <w:p>
            <w:pPr>
              <w:autoSpaceDE w:val="0"/>
              <w:autoSpaceDN w:val="0"/>
              <w:spacing w:before="94" w:line="360" w:lineRule="auto"/>
              <w:ind w:left="104" w:right="69"/>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94" w:line="360" w:lineRule="auto"/>
              <w:jc w:val="center"/>
              <w:rPr>
                <w:rFonts w:asciiTheme="minorEastAsia" w:hAnsiTheme="minorEastAsia" w:eastAsiaTheme="minorEastAsia" w:cstheme="minorBidi"/>
                <w:sz w:val="24"/>
                <w:lang w:eastAsia="en-US"/>
              </w:rPr>
            </w:pPr>
          </w:p>
        </w:tc>
        <w:tc>
          <w:tcPr>
            <w:tcW w:w="1843" w:type="dxa"/>
            <w:tcBorders>
              <w:left w:val="single" w:color="auto" w:sz="4" w:space="0"/>
            </w:tcBorders>
            <w:vAlign w:val="center"/>
          </w:tcPr>
          <w:p>
            <w:pPr>
              <w:autoSpaceDE w:val="0"/>
              <w:autoSpaceDN w:val="0"/>
              <w:spacing w:before="94" w:line="360" w:lineRule="auto"/>
              <w:ind w:left="104" w:right="98"/>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1</w:t>
            </w:r>
            <w:r>
              <w:rPr>
                <w:rFonts w:asciiTheme="minorEastAsia" w:hAnsiTheme="minorEastAsia" w:eastAsiaTheme="minorEastAsia" w:cstheme="minorBidi"/>
                <w:sz w:val="24"/>
                <w:lang w:eastAsia="en-US"/>
              </w:rPr>
              <w:t>0</w:t>
            </w:r>
            <w:r>
              <w:rPr>
                <w:rFonts w:hint="eastAsia" w:asciiTheme="minorEastAsia" w:hAnsiTheme="minorEastAsia" w:eastAsiaTheme="minorEastAsia" w:cstheme="minorBidi"/>
                <w:sz w:val="24"/>
                <w:lang w:eastAsia="en-US"/>
              </w:rPr>
              <w:t>:30-1</w:t>
            </w:r>
            <w:r>
              <w:rPr>
                <w:rFonts w:asciiTheme="minorEastAsia" w:hAnsiTheme="minorEastAsia" w:eastAsiaTheme="minorEastAsia" w:cstheme="minorBidi"/>
                <w:sz w:val="24"/>
                <w:lang w:eastAsia="en-US"/>
              </w:rPr>
              <w:t>5</w:t>
            </w:r>
            <w:r>
              <w:rPr>
                <w:rFonts w:hint="eastAsia" w:asciiTheme="minorEastAsia" w:hAnsiTheme="minorEastAsia" w:eastAsiaTheme="minorEastAsia" w:cstheme="minorBidi"/>
                <w:sz w:val="24"/>
                <w:lang w:eastAsia="en-US"/>
              </w:rPr>
              <w:t>:00</w:t>
            </w:r>
          </w:p>
        </w:tc>
        <w:tc>
          <w:tcPr>
            <w:tcW w:w="4932" w:type="dxa"/>
            <w:vAlign w:val="center"/>
          </w:tcPr>
          <w:p>
            <w:pPr>
              <w:autoSpaceDE w:val="0"/>
              <w:autoSpaceDN w:val="0"/>
              <w:spacing w:before="94" w:line="360" w:lineRule="auto"/>
              <w:ind w:left="104" w:right="69"/>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营业过程技能展示与答辩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p>
        </w:tc>
        <w:tc>
          <w:tcPr>
            <w:tcW w:w="1843" w:type="dxa"/>
            <w:tcBorders>
              <w:left w:val="single" w:color="auto" w:sz="4" w:space="0"/>
            </w:tcBorders>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赛后1</w:t>
            </w:r>
            <w:r>
              <w:rPr>
                <w:rFonts w:asciiTheme="minorEastAsia" w:hAnsiTheme="minorEastAsia" w:eastAsiaTheme="minorEastAsia" w:cstheme="minorBidi"/>
                <w:sz w:val="24"/>
                <w:lang w:eastAsia="en-US"/>
              </w:rPr>
              <w:t>.5</w:t>
            </w:r>
            <w:r>
              <w:rPr>
                <w:rFonts w:hint="eastAsia" w:asciiTheme="minorEastAsia" w:hAnsiTheme="minorEastAsia" w:eastAsiaTheme="minorEastAsia" w:cstheme="minorBidi"/>
                <w:sz w:val="24"/>
                <w:lang w:eastAsia="en-US"/>
              </w:rPr>
              <w:t>小时内</w:t>
            </w:r>
          </w:p>
        </w:tc>
        <w:tc>
          <w:tcPr>
            <w:tcW w:w="4932" w:type="dxa"/>
            <w:vAlign w:val="center"/>
          </w:tcPr>
          <w:p>
            <w:pPr>
              <w:autoSpaceDE w:val="0"/>
              <w:autoSpaceDN w:val="0"/>
              <w:spacing w:before="94" w:line="360" w:lineRule="auto"/>
              <w:ind w:left="104"/>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成绩汇总、成绩核对、录入与解密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Theme="minorEastAsia" w:hAnsiTheme="minorEastAsia" w:eastAsiaTheme="minorEastAsia" w:cstheme="minorBidi"/>
                <w:sz w:val="24"/>
                <w:lang w:eastAsia="en-US"/>
              </w:rPr>
            </w:pPr>
          </w:p>
        </w:tc>
        <w:tc>
          <w:tcPr>
            <w:tcW w:w="1843" w:type="dxa"/>
            <w:tcBorders>
              <w:left w:val="single" w:color="auto" w:sz="4" w:space="0"/>
            </w:tcBorders>
            <w:vAlign w:val="center"/>
          </w:tcPr>
          <w:p>
            <w:pPr>
              <w:autoSpaceDE w:val="0"/>
              <w:autoSpaceDN w:val="0"/>
              <w:spacing w:before="94" w:line="360" w:lineRule="auto"/>
              <w:ind w:left="104"/>
              <w:jc w:val="center"/>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赛后2小时内</w:t>
            </w:r>
          </w:p>
        </w:tc>
        <w:tc>
          <w:tcPr>
            <w:tcW w:w="4932" w:type="dxa"/>
            <w:vAlign w:val="center"/>
          </w:tcPr>
          <w:p>
            <w:pPr>
              <w:autoSpaceDE w:val="0"/>
              <w:autoSpaceDN w:val="0"/>
              <w:spacing w:before="94" w:line="360" w:lineRule="auto"/>
              <w:ind w:left="104"/>
              <w:jc w:val="left"/>
              <w:rPr>
                <w:rFonts w:asciiTheme="minorEastAsia" w:hAnsiTheme="minorEastAsia" w:eastAsiaTheme="minorEastAsia" w:cstheme="minorBidi"/>
                <w:sz w:val="24"/>
                <w:lang w:eastAsia="en-US"/>
              </w:rPr>
            </w:pPr>
            <w:r>
              <w:rPr>
                <w:rFonts w:hint="eastAsia" w:asciiTheme="minorEastAsia" w:hAnsiTheme="minorEastAsia" w:eastAsiaTheme="minorEastAsia" w:cstheme="minorBidi"/>
                <w:sz w:val="24"/>
                <w:lang w:eastAsia="en-US"/>
              </w:rPr>
              <w:t>结果公示，申诉受理与仲裁</w:t>
            </w:r>
          </w:p>
        </w:tc>
      </w:tr>
      <w:bookmarkEnd w:id="0"/>
      <w:bookmarkEnd w:id="1"/>
      <w:bookmarkEnd w:id="2"/>
      <w:bookmarkEnd w:id="3"/>
      <w:bookmarkEnd w:id="4"/>
    </w:tbl>
    <w:p>
      <w:pPr>
        <w:pStyle w:val="2"/>
        <w:spacing w:before="156" w:beforeLines="50" w:after="0" w:line="360" w:lineRule="auto"/>
        <w:ind w:firstLine="480" w:firstLineChars="200"/>
        <w:rPr>
          <w:sz w:val="24"/>
          <w:szCs w:val="24"/>
        </w:rPr>
      </w:pPr>
      <w:bookmarkStart w:id="32" w:name="_Toc46474585"/>
      <w:bookmarkStart w:id="33" w:name="_Toc43209753"/>
      <w:bookmarkStart w:id="34" w:name="_Toc486438756"/>
      <w:bookmarkStart w:id="35" w:name="_Toc41742065"/>
      <w:bookmarkStart w:id="36" w:name="_Toc486438930"/>
      <w:bookmarkStart w:id="37" w:name="_Toc486438872"/>
      <w:r>
        <w:rPr>
          <w:rFonts w:hint="eastAsia"/>
          <w:sz w:val="24"/>
          <w:szCs w:val="24"/>
        </w:rPr>
        <w:t>八、基础设施</w:t>
      </w:r>
      <w:bookmarkEnd w:id="32"/>
      <w:bookmarkEnd w:id="33"/>
    </w:p>
    <w:p>
      <w:pPr>
        <w:spacing w:line="360" w:lineRule="auto"/>
        <w:ind w:firstLine="480" w:firstLineChars="200"/>
        <w:outlineLvl w:val="0"/>
        <w:rPr>
          <w:rFonts w:asciiTheme="minorEastAsia" w:hAnsiTheme="minorEastAsia" w:eastAsiaTheme="minorEastAsia"/>
          <w:b/>
          <w:sz w:val="24"/>
        </w:rPr>
      </w:pPr>
      <w:bookmarkStart w:id="38" w:name="_Toc46474586"/>
      <w:r>
        <w:rPr>
          <w:rFonts w:hint="eastAsia" w:asciiTheme="minorEastAsia" w:hAnsiTheme="minorEastAsia" w:eastAsiaTheme="minorEastAsia"/>
          <w:b/>
          <w:sz w:val="24"/>
        </w:rPr>
        <w:t>（一）竞赛环境要求</w:t>
      </w:r>
      <w:bookmarkEnd w:id="38"/>
    </w:p>
    <w:p>
      <w:pPr>
        <w:spacing w:line="360" w:lineRule="auto"/>
        <w:ind w:firstLine="480" w:firstLineChars="200"/>
        <w:rPr>
          <w:rFonts w:asciiTheme="minorEastAsia" w:hAnsiTheme="minorEastAsia" w:eastAsiaTheme="minorEastAsia"/>
          <w:sz w:val="24"/>
        </w:rPr>
      </w:pPr>
      <w:bookmarkStart w:id="39" w:name="_Toc46474456"/>
      <w:r>
        <w:rPr>
          <w:rFonts w:hint="eastAsia" w:asciiTheme="minorEastAsia" w:hAnsiTheme="minorEastAsia" w:eastAsiaTheme="minorEastAsia"/>
          <w:sz w:val="24"/>
        </w:rPr>
        <w:t>竞赛场地：场地需采光通风良好，具备可靠的电力、网络及必要的竞赛设备与桌椅；</w:t>
      </w:r>
      <w:bookmarkEnd w:id="39"/>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竞赛设备：所有竞赛设备由组委会负责提供和保障，竞赛区按照参赛选手数量准备比赛所需的软硬件平台，为参赛选手提供标准竞赛设备。</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竞赛机位：每个机位上标明编号。每个机位为一名参赛选手，每个机位配有两台电脑、两张桌子、两把椅子。</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网络设备：采用星形网络拓扑结构，安装千兆交换机。网线与电源线隐蔽铺设。采用独立网络环境，可访问外网服务器；</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网络安全：采用统一的杀毒软件对服务器进行防毒保护。屏蔽竞赛现场使用的电脑USB接口。部署具有网络管理、账号管理和日志管理功能的综合监控系统；</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用电要求：采用双路供电；利用UPS防止现场因突然断电导致的系统数据丢失，额定功率：3KVA，后备时间：2小时，电池类型：输出电压：230V±5%V。</w:t>
      </w:r>
    </w:p>
    <w:p>
      <w:pPr>
        <w:pStyle w:val="21"/>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媒体宣传：在竞赛不被干扰的前提下赛场面向媒体、行业专家开放，允许媒体、行业专家在规定的时段内沿指定路线进行现场参观。竞赛场地内可设置背景板、宣传横幅及壁挂图，营造竞赛氛围。</w:t>
      </w:r>
    </w:p>
    <w:p>
      <w:pPr>
        <w:pStyle w:val="21"/>
        <w:spacing w:before="0" w:beforeAutospacing="0" w:after="0" w:afterAutospacing="0" w:line="360" w:lineRule="auto"/>
        <w:ind w:firstLine="480" w:firstLineChars="200"/>
        <w:rPr>
          <w:rFonts w:asciiTheme="minorEastAsia" w:hAnsiTheme="minorEastAsia" w:eastAsiaTheme="minorEastAsia"/>
          <w:b/>
        </w:rPr>
      </w:pPr>
      <w:r>
        <w:rPr>
          <w:rFonts w:hint="eastAsia" w:asciiTheme="minorEastAsia" w:hAnsiTheme="minorEastAsia" w:eastAsiaTheme="minorEastAsia"/>
          <w:b/>
        </w:rPr>
        <w:t>（二）赛场设备主要配置清单</w:t>
      </w:r>
    </w:p>
    <w:p>
      <w:pPr>
        <w:snapToGrid w:val="0"/>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技术平台包括：计算机信息技术、网络通信技术、物联网技术等。</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187"/>
        <w:gridCol w:w="1212"/>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2" w:type="pct"/>
            <w:vAlign w:val="center"/>
          </w:tcPr>
          <w:p>
            <w:pPr>
              <w:snapToGrid w:val="0"/>
              <w:spacing w:line="276" w:lineRule="auto"/>
              <w:jc w:val="center"/>
              <w:rPr>
                <w:rFonts w:asciiTheme="minorEastAsia" w:hAnsiTheme="minorEastAsia"/>
                <w:b/>
                <w:bCs/>
                <w:kern w:val="0"/>
                <w:sz w:val="24"/>
              </w:rPr>
            </w:pPr>
            <w:r>
              <w:rPr>
                <w:rFonts w:hint="eastAsia" w:asciiTheme="minorEastAsia" w:hAnsiTheme="minorEastAsia"/>
                <w:b/>
                <w:bCs/>
                <w:kern w:val="0"/>
                <w:sz w:val="24"/>
              </w:rPr>
              <w:t>序号</w:t>
            </w:r>
          </w:p>
        </w:tc>
        <w:tc>
          <w:tcPr>
            <w:tcW w:w="654" w:type="pct"/>
            <w:vAlign w:val="center"/>
          </w:tcPr>
          <w:p>
            <w:pPr>
              <w:snapToGrid w:val="0"/>
              <w:spacing w:line="276" w:lineRule="auto"/>
              <w:jc w:val="center"/>
              <w:rPr>
                <w:rFonts w:asciiTheme="minorEastAsia" w:hAnsiTheme="minorEastAsia"/>
                <w:b/>
                <w:bCs/>
                <w:kern w:val="0"/>
                <w:sz w:val="24"/>
              </w:rPr>
            </w:pPr>
            <w:r>
              <w:rPr>
                <w:rFonts w:hint="eastAsia" w:asciiTheme="minorEastAsia" w:hAnsiTheme="minorEastAsia"/>
                <w:b/>
                <w:bCs/>
                <w:kern w:val="0"/>
                <w:sz w:val="24"/>
              </w:rPr>
              <w:t>使用赛程</w:t>
            </w:r>
          </w:p>
        </w:tc>
        <w:tc>
          <w:tcPr>
            <w:tcW w:w="668" w:type="pct"/>
            <w:vAlign w:val="center"/>
          </w:tcPr>
          <w:p>
            <w:pPr>
              <w:snapToGrid w:val="0"/>
              <w:spacing w:line="276" w:lineRule="auto"/>
              <w:jc w:val="center"/>
              <w:rPr>
                <w:rFonts w:asciiTheme="minorEastAsia" w:hAnsiTheme="minorEastAsia"/>
                <w:b/>
                <w:bCs/>
                <w:kern w:val="0"/>
                <w:sz w:val="24"/>
              </w:rPr>
            </w:pPr>
            <w:r>
              <w:rPr>
                <w:rFonts w:hint="eastAsia" w:asciiTheme="minorEastAsia" w:hAnsiTheme="minorEastAsia"/>
                <w:b/>
                <w:bCs/>
                <w:kern w:val="0"/>
                <w:sz w:val="24"/>
              </w:rPr>
              <w:t>平台名称</w:t>
            </w:r>
          </w:p>
        </w:tc>
        <w:tc>
          <w:tcPr>
            <w:tcW w:w="3316" w:type="pct"/>
            <w:vAlign w:val="center"/>
          </w:tcPr>
          <w:p>
            <w:pPr>
              <w:snapToGrid w:val="0"/>
              <w:spacing w:line="276" w:lineRule="auto"/>
              <w:jc w:val="center"/>
              <w:rPr>
                <w:rFonts w:asciiTheme="minorEastAsia" w:hAnsiTheme="minorEastAsia"/>
                <w:b/>
                <w:bCs/>
                <w:kern w:val="0"/>
                <w:sz w:val="24"/>
              </w:rPr>
            </w:pPr>
            <w:r>
              <w:rPr>
                <w:rFonts w:hint="eastAsia" w:asciiTheme="minorEastAsia" w:hAnsiTheme="minorEastAsia"/>
                <w:b/>
                <w:bCs/>
                <w:kern w:val="0"/>
                <w:sz w:val="24"/>
              </w:rPr>
              <w:t>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2" w:type="pct"/>
            <w:vAlign w:val="center"/>
          </w:tcPr>
          <w:p>
            <w:pPr>
              <w:snapToGrid w:val="0"/>
              <w:spacing w:line="276" w:lineRule="auto"/>
              <w:jc w:val="left"/>
              <w:rPr>
                <w:rFonts w:asciiTheme="minorEastAsia" w:hAnsiTheme="minorEastAsia"/>
                <w:kern w:val="0"/>
                <w:sz w:val="24"/>
              </w:rPr>
            </w:pPr>
            <w:r>
              <w:rPr>
                <w:rFonts w:hint="eastAsia" w:asciiTheme="minorEastAsia" w:hAnsiTheme="minorEastAsia"/>
                <w:kern w:val="0"/>
                <w:sz w:val="24"/>
              </w:rPr>
              <w:t>1</w:t>
            </w:r>
          </w:p>
        </w:tc>
        <w:tc>
          <w:tcPr>
            <w:tcW w:w="654" w:type="pct"/>
            <w:vAlign w:val="center"/>
          </w:tcPr>
          <w:p>
            <w:pPr>
              <w:snapToGrid w:val="0"/>
              <w:spacing w:line="276" w:lineRule="auto"/>
              <w:jc w:val="left"/>
              <w:rPr>
                <w:rFonts w:ascii="宋体" w:hAnsi="宋体" w:cs="宋体"/>
                <w:sz w:val="24"/>
              </w:rPr>
            </w:pPr>
            <w:r>
              <w:rPr>
                <w:rFonts w:hint="eastAsia" w:ascii="宋体" w:hAnsi="宋体" w:cs="宋体"/>
                <w:sz w:val="24"/>
              </w:rPr>
              <w:t>知识水平测试</w:t>
            </w:r>
          </w:p>
        </w:tc>
        <w:tc>
          <w:tcPr>
            <w:tcW w:w="668" w:type="pct"/>
            <w:vAlign w:val="center"/>
          </w:tcPr>
          <w:p>
            <w:pPr>
              <w:snapToGrid w:val="0"/>
              <w:spacing w:line="276" w:lineRule="auto"/>
              <w:jc w:val="left"/>
              <w:rPr>
                <w:rFonts w:asciiTheme="minorEastAsia" w:hAnsiTheme="minorEastAsia"/>
                <w:kern w:val="0"/>
                <w:sz w:val="24"/>
              </w:rPr>
            </w:pPr>
            <w:r>
              <w:rPr>
                <w:rFonts w:hint="eastAsia"/>
                <w:sz w:val="24"/>
              </w:rPr>
              <w:t>AI知识图谱分析软件</w:t>
            </w:r>
          </w:p>
        </w:tc>
        <w:tc>
          <w:tcPr>
            <w:tcW w:w="3316" w:type="pct"/>
            <w:vAlign w:val="center"/>
          </w:tcPr>
          <w:p>
            <w:pPr>
              <w:snapToGrid w:val="0"/>
              <w:spacing w:line="276" w:lineRule="auto"/>
              <w:jc w:val="left"/>
              <w:rPr>
                <w:rFonts w:asciiTheme="minorEastAsia" w:hAnsiTheme="minorEastAsia"/>
                <w:kern w:val="0"/>
                <w:sz w:val="24"/>
              </w:rPr>
            </w:pPr>
            <w:r>
              <w:rPr>
                <w:rFonts w:hint="eastAsia" w:asciiTheme="minorEastAsia" w:hAnsiTheme="minorEastAsia"/>
                <w:kern w:val="0"/>
                <w:sz w:val="24"/>
              </w:rPr>
              <w:t>软件可根据知识点进行快速抽题组卷，生成的试卷包括全场统一卷与智能A</w:t>
            </w:r>
            <w:r>
              <w:rPr>
                <w:rFonts w:asciiTheme="minorEastAsia" w:hAnsiTheme="minorEastAsia"/>
                <w:kern w:val="0"/>
                <w:sz w:val="24"/>
              </w:rPr>
              <w:t>/B</w:t>
            </w:r>
            <w:r>
              <w:rPr>
                <w:rFonts w:hint="eastAsia" w:asciiTheme="minorEastAsia" w:hAnsiTheme="minorEastAsia"/>
                <w:kern w:val="0"/>
                <w:sz w:val="24"/>
              </w:rPr>
              <w:t>卷两种类型，学生完成答题后，可根据答题情况生成单个学生智能分析报告，呈现学生的知识水平、答题成绩，答题习惯、答题效率等指标分析数据</w:t>
            </w:r>
            <w:r>
              <w:rPr>
                <w:rFonts w:hint="eastAsia"/>
                <w:sz w:val="24"/>
              </w:rPr>
              <w:t>。同时可为整场考试生产考试分析报告，智能分析试卷难度，试卷区分度，考生成绩分布，知识水平分布，考试效果等多维度数据。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pPr>
              <w:snapToGrid w:val="0"/>
              <w:spacing w:line="276" w:lineRule="auto"/>
              <w:jc w:val="left"/>
              <w:rPr>
                <w:rFonts w:asciiTheme="minorEastAsia" w:hAnsiTheme="minorEastAsia"/>
                <w:kern w:val="0"/>
                <w:sz w:val="24"/>
              </w:rPr>
            </w:pPr>
            <w:r>
              <w:rPr>
                <w:rFonts w:hint="eastAsia" w:asciiTheme="minorEastAsia" w:hAnsiTheme="minorEastAsia"/>
                <w:kern w:val="0"/>
                <w:sz w:val="24"/>
              </w:rPr>
              <w:t>2</w:t>
            </w:r>
          </w:p>
        </w:tc>
        <w:tc>
          <w:tcPr>
            <w:tcW w:w="654" w:type="pct"/>
            <w:vAlign w:val="center"/>
          </w:tcPr>
          <w:p>
            <w:pPr>
              <w:snapToGrid w:val="0"/>
              <w:spacing w:line="276" w:lineRule="auto"/>
              <w:jc w:val="left"/>
              <w:rPr>
                <w:rFonts w:ascii="宋体" w:hAnsi="宋体" w:cs="宋体"/>
                <w:sz w:val="24"/>
              </w:rPr>
            </w:pPr>
            <w:r>
              <w:rPr>
                <w:rFonts w:hint="eastAsia" w:ascii="宋体" w:hAnsi="宋体" w:cs="宋体"/>
                <w:sz w:val="24"/>
              </w:rPr>
              <w:t>实操考核——营业过程技能展示与答辩</w:t>
            </w:r>
          </w:p>
        </w:tc>
        <w:tc>
          <w:tcPr>
            <w:tcW w:w="668" w:type="pct"/>
            <w:vAlign w:val="center"/>
          </w:tcPr>
          <w:p>
            <w:pPr>
              <w:snapToGrid w:val="0"/>
              <w:spacing w:line="276" w:lineRule="auto"/>
              <w:jc w:val="left"/>
              <w:rPr>
                <w:rFonts w:ascii="宋体" w:hAnsi="宋体" w:cs="宋体"/>
                <w:sz w:val="24"/>
              </w:rPr>
            </w:pPr>
            <w:r>
              <w:rPr>
                <w:rFonts w:hint="eastAsia" w:ascii="宋体" w:hAnsi="宋体" w:cs="宋体"/>
                <w:sz w:val="24"/>
              </w:rPr>
              <w:t>项目综合评审平台</w:t>
            </w:r>
          </w:p>
        </w:tc>
        <w:tc>
          <w:tcPr>
            <w:tcW w:w="3316" w:type="pct"/>
            <w:vAlign w:val="center"/>
          </w:tcPr>
          <w:p>
            <w:pPr>
              <w:snapToGrid w:val="0"/>
              <w:spacing w:line="276" w:lineRule="auto"/>
              <w:jc w:val="left"/>
              <w:rPr>
                <w:rFonts w:asciiTheme="minorEastAsia" w:hAnsiTheme="minorEastAsia"/>
                <w:kern w:val="0"/>
                <w:sz w:val="24"/>
              </w:rPr>
            </w:pPr>
            <w:r>
              <w:rPr>
                <w:rFonts w:hint="eastAsia" w:asciiTheme="minorEastAsia" w:hAnsiTheme="minorEastAsia"/>
                <w:kern w:val="0"/>
                <w:sz w:val="24"/>
              </w:rPr>
              <w:t>项目综合评审平台是一款服务于项目或方案评审场景的数据管理平台，管理员可在后台为比赛配置不同的上传文件要求与评分项，导入参赛选手信息与评委信息；支持选手上传pdf及视频文件；支持评委在线预览选手上传的作品文件，支持单一作品多评委评审；支持多评委评分自动统计；支持2种统分方式；支持评分成绩快速导出。</w:t>
            </w:r>
          </w:p>
        </w:tc>
      </w:tr>
    </w:tbl>
    <w:p>
      <w:pPr>
        <w:pStyle w:val="2"/>
        <w:spacing w:before="156" w:beforeLines="50" w:after="0" w:line="360" w:lineRule="auto"/>
        <w:ind w:firstLine="480" w:firstLineChars="200"/>
        <w:rPr>
          <w:sz w:val="24"/>
        </w:rPr>
      </w:pPr>
      <w:bookmarkStart w:id="40" w:name="_Toc46474592"/>
      <w:r>
        <w:rPr>
          <w:rFonts w:hint="eastAsia"/>
          <w:sz w:val="24"/>
        </w:rPr>
        <w:t>九、申诉与仲裁</w:t>
      </w:r>
      <w:bookmarkEnd w:id="40"/>
    </w:p>
    <w:p>
      <w:pPr>
        <w:spacing w:line="360" w:lineRule="auto"/>
        <w:ind w:firstLine="480" w:firstLineChars="200"/>
        <w:rPr>
          <w:rFonts w:asciiTheme="minorEastAsia" w:hAnsiTheme="minorEastAsia" w:eastAsiaTheme="minorEastAsia"/>
          <w:sz w:val="24"/>
        </w:rPr>
      </w:pPr>
      <w:bookmarkStart w:id="41" w:name="_Toc42633830"/>
      <w:bookmarkStart w:id="42" w:name="_Toc43209759"/>
      <w:bookmarkStart w:id="43" w:name="_Toc46231195"/>
      <w:bookmarkStart w:id="44" w:name="_Toc46474594"/>
      <w:r>
        <w:rPr>
          <w:rFonts w:hint="eastAsia" w:asciiTheme="minorEastAsia" w:hAnsiTheme="minorEastAsia" w:eastAsiaTheme="minorEastAsia"/>
          <w:sz w:val="24"/>
        </w:rPr>
        <w:t>（一）申诉应在申诉者本环节竞赛结束后1小时内提出，超过时限将不予受理。申诉时，由参赛队领队向组委会递交书面申诉报告；申诉报告须有申诉的参赛队领队及参赛选手具名签字。报告应对申诉事件的发生时间、内容或现象、涉及的人员，以及申诉的依据和理由等进行充分举证，实事求是陈述。对事实依据不客观、举证不恰当不充分、仅凭主观臆断形成的申诉，组委会有权不予受理。</w:t>
      </w:r>
      <w:bookmarkEnd w:id="41"/>
      <w:bookmarkEnd w:id="42"/>
      <w:bookmarkEnd w:id="43"/>
      <w:bookmarkEnd w:id="44"/>
    </w:p>
    <w:p>
      <w:pPr>
        <w:spacing w:line="360" w:lineRule="auto"/>
        <w:ind w:firstLine="480" w:firstLineChars="200"/>
        <w:rPr>
          <w:rFonts w:asciiTheme="minorEastAsia" w:hAnsiTheme="minorEastAsia" w:eastAsiaTheme="minorEastAsia"/>
          <w:sz w:val="24"/>
        </w:rPr>
      </w:pPr>
      <w:bookmarkStart w:id="45" w:name="_Toc42633831"/>
      <w:bookmarkStart w:id="46" w:name="_Toc43209760"/>
      <w:bookmarkStart w:id="47" w:name="_Toc46231196"/>
      <w:bookmarkStart w:id="48" w:name="_Toc46474595"/>
      <w:r>
        <w:rPr>
          <w:rFonts w:hint="eastAsia" w:asciiTheme="minorEastAsia" w:hAnsiTheme="minorEastAsia" w:eastAsiaTheme="minorEastAsia"/>
          <w:sz w:val="24"/>
        </w:rPr>
        <w:t>（二）组委会在受理申诉后的1小时内组织调查处理，并及时反馈处理结果。</w:t>
      </w:r>
      <w:bookmarkEnd w:id="45"/>
      <w:bookmarkEnd w:id="46"/>
      <w:bookmarkEnd w:id="47"/>
      <w:bookmarkEnd w:id="48"/>
    </w:p>
    <w:p>
      <w:pPr>
        <w:spacing w:line="360" w:lineRule="auto"/>
        <w:ind w:firstLine="480" w:firstLineChars="200"/>
        <w:rPr>
          <w:rFonts w:asciiTheme="minorEastAsia" w:hAnsiTheme="minorEastAsia" w:eastAsiaTheme="minorEastAsia"/>
          <w:sz w:val="24"/>
        </w:rPr>
      </w:pPr>
      <w:bookmarkStart w:id="49" w:name="_Toc46474596"/>
      <w:bookmarkStart w:id="50" w:name="_Toc43209761"/>
      <w:bookmarkStart w:id="51" w:name="_Toc42633832"/>
      <w:bookmarkStart w:id="52" w:name="_Toc46231197"/>
      <w:r>
        <w:rPr>
          <w:rFonts w:hint="eastAsia" w:asciiTheme="minorEastAsia" w:hAnsiTheme="minorEastAsia" w:eastAsiaTheme="minorEastAsia"/>
          <w:sz w:val="24"/>
        </w:rPr>
        <w:t>（三）申诉人及申诉参赛队不得无故拒不接受仲裁结果；不得采取过激行为刁难、攻击工作人员，否则视为放弃申诉。</w:t>
      </w:r>
      <w:bookmarkEnd w:id="49"/>
      <w:bookmarkEnd w:id="50"/>
      <w:bookmarkEnd w:id="51"/>
      <w:bookmarkEnd w:id="52"/>
    </w:p>
    <w:p>
      <w:pPr>
        <w:spacing w:line="360" w:lineRule="auto"/>
        <w:ind w:firstLine="480" w:firstLineChars="200"/>
        <w:rPr>
          <w:rFonts w:asciiTheme="minorEastAsia" w:hAnsiTheme="minorEastAsia" w:eastAsiaTheme="minorEastAsia"/>
          <w:sz w:val="24"/>
        </w:rPr>
      </w:pPr>
      <w:bookmarkStart w:id="53" w:name="_Toc43209762"/>
      <w:bookmarkStart w:id="54" w:name="_Toc46474597"/>
      <w:bookmarkStart w:id="55" w:name="_Toc46231198"/>
      <w:bookmarkStart w:id="56" w:name="_Toc42633833"/>
      <w:r>
        <w:rPr>
          <w:rFonts w:hint="eastAsia" w:asciiTheme="minorEastAsia" w:hAnsiTheme="minorEastAsia" w:eastAsiaTheme="minorEastAsia"/>
          <w:sz w:val="24"/>
        </w:rPr>
        <w:t>（四）申诉人及申诉参赛队不得因提起申诉或对申诉仲裁意见不服而停止竞赛或滋事挑起不良事端，否则按赛事弃权处理。</w:t>
      </w:r>
      <w:bookmarkEnd w:id="53"/>
      <w:bookmarkEnd w:id="54"/>
      <w:bookmarkEnd w:id="55"/>
      <w:bookmarkEnd w:id="56"/>
    </w:p>
    <w:p>
      <w:pPr>
        <w:spacing w:line="360" w:lineRule="auto"/>
        <w:ind w:firstLine="480" w:firstLineChars="200"/>
        <w:rPr>
          <w:rFonts w:asciiTheme="minorEastAsia" w:hAnsiTheme="minorEastAsia" w:eastAsiaTheme="minorEastAsia"/>
          <w:sz w:val="24"/>
        </w:rPr>
      </w:pPr>
      <w:bookmarkStart w:id="57" w:name="_Toc42633834"/>
      <w:bookmarkStart w:id="58" w:name="_Toc43209763"/>
      <w:bookmarkStart w:id="59" w:name="_Toc46474598"/>
      <w:bookmarkStart w:id="60" w:name="_Toc46231199"/>
      <w:r>
        <w:rPr>
          <w:rFonts w:hint="eastAsia" w:asciiTheme="minorEastAsia" w:hAnsiTheme="minorEastAsia" w:eastAsiaTheme="minorEastAsia"/>
          <w:sz w:val="24"/>
        </w:rPr>
        <w:t>（五）大赛不因申诉事件而组织重赛。</w:t>
      </w:r>
      <w:bookmarkEnd w:id="57"/>
      <w:bookmarkEnd w:id="58"/>
      <w:bookmarkEnd w:id="59"/>
      <w:bookmarkEnd w:id="60"/>
    </w:p>
    <w:p>
      <w:pPr>
        <w:pStyle w:val="2"/>
        <w:spacing w:before="156" w:beforeLines="50" w:after="0" w:line="360" w:lineRule="auto"/>
        <w:ind w:firstLine="480" w:firstLineChars="200"/>
        <w:rPr>
          <w:sz w:val="24"/>
        </w:rPr>
      </w:pPr>
      <w:bookmarkStart w:id="61" w:name="_Toc46474599"/>
      <w:r>
        <w:rPr>
          <w:rFonts w:hint="eastAsia"/>
          <w:sz w:val="24"/>
        </w:rPr>
        <w:t>十、竞赛须知</w:t>
      </w:r>
      <w:bookmarkEnd w:id="61"/>
    </w:p>
    <w:p>
      <w:pPr>
        <w:spacing w:line="360" w:lineRule="auto"/>
        <w:ind w:firstLine="480" w:firstLineChars="200"/>
        <w:outlineLvl w:val="0"/>
        <w:rPr>
          <w:rFonts w:asciiTheme="minorEastAsia" w:hAnsiTheme="minorEastAsia" w:eastAsiaTheme="minorEastAsia"/>
          <w:b/>
          <w:sz w:val="24"/>
        </w:rPr>
      </w:pPr>
      <w:bookmarkStart w:id="62" w:name="_Toc43209765"/>
      <w:bookmarkStart w:id="63" w:name="_Toc486438921"/>
      <w:bookmarkStart w:id="64" w:name="_Toc486438747"/>
      <w:bookmarkStart w:id="65" w:name="_Toc42633836"/>
      <w:bookmarkStart w:id="66" w:name="_Toc486438863"/>
      <w:bookmarkStart w:id="67" w:name="_Toc46474600"/>
      <w:bookmarkStart w:id="68" w:name="_Toc41742056"/>
      <w:bookmarkStart w:id="69" w:name="_Toc46231201"/>
      <w:r>
        <w:rPr>
          <w:rFonts w:hint="eastAsia" w:asciiTheme="minorEastAsia" w:hAnsiTheme="minorEastAsia" w:eastAsiaTheme="minorEastAsia"/>
          <w:b/>
          <w:sz w:val="24"/>
        </w:rPr>
        <w:t>（一）参赛队须知</w:t>
      </w:r>
      <w:bookmarkEnd w:id="62"/>
      <w:bookmarkEnd w:id="63"/>
      <w:bookmarkEnd w:id="64"/>
      <w:bookmarkEnd w:id="65"/>
      <w:bookmarkEnd w:id="66"/>
      <w:bookmarkEnd w:id="67"/>
      <w:bookmarkEnd w:id="68"/>
      <w:bookmarkEnd w:id="69"/>
    </w:p>
    <w:p>
      <w:pPr>
        <w:spacing w:line="360" w:lineRule="auto"/>
        <w:ind w:firstLine="480" w:firstLineChars="200"/>
        <w:rPr>
          <w:rFonts w:asciiTheme="minorEastAsia" w:hAnsiTheme="minorEastAsia" w:eastAsiaTheme="minorEastAsia"/>
          <w:sz w:val="24"/>
        </w:rPr>
      </w:pPr>
      <w:bookmarkStart w:id="70" w:name="_Toc43209766"/>
      <w:bookmarkStart w:id="71" w:name="_Toc46474601"/>
      <w:bookmarkStart w:id="72" w:name="_Toc46231202"/>
      <w:bookmarkStart w:id="73" w:name="_Toc42633844"/>
      <w:r>
        <w:rPr>
          <w:rFonts w:hint="eastAsia" w:asciiTheme="minorEastAsia" w:hAnsiTheme="minorEastAsia" w:eastAsiaTheme="minorEastAsia"/>
          <w:sz w:val="24"/>
        </w:rPr>
        <w:t>1.本赛项为个人赛，</w:t>
      </w:r>
      <w:r>
        <w:rPr>
          <w:rFonts w:asciiTheme="minorEastAsia" w:hAnsiTheme="minorEastAsia" w:eastAsiaTheme="minorEastAsia"/>
          <w:sz w:val="24"/>
        </w:rPr>
        <w:t>每支参赛队由1</w:t>
      </w:r>
      <w:r>
        <w:rPr>
          <w:rFonts w:hint="eastAsia" w:asciiTheme="minorEastAsia" w:hAnsiTheme="minorEastAsia" w:eastAsiaTheme="minorEastAsia"/>
          <w:sz w:val="24"/>
        </w:rPr>
        <w:t>名选手组成</w:t>
      </w:r>
      <w:r>
        <w:rPr>
          <w:rFonts w:asciiTheme="minorEastAsia" w:hAnsiTheme="minorEastAsia" w:eastAsiaTheme="minorEastAsia"/>
          <w:sz w:val="24"/>
        </w:rPr>
        <w:t>。</w:t>
      </w:r>
      <w:bookmarkEnd w:id="70"/>
      <w:bookmarkEnd w:id="71"/>
      <w:bookmarkEnd w:id="72"/>
    </w:p>
    <w:p>
      <w:pPr>
        <w:spacing w:line="360" w:lineRule="auto"/>
        <w:ind w:firstLine="480" w:firstLineChars="200"/>
        <w:rPr>
          <w:rFonts w:asciiTheme="minorEastAsia" w:hAnsiTheme="minorEastAsia" w:eastAsiaTheme="minorEastAsia"/>
          <w:sz w:val="24"/>
        </w:rPr>
      </w:pPr>
      <w:bookmarkStart w:id="74" w:name="_Toc43209767"/>
      <w:bookmarkStart w:id="75" w:name="_Toc46231203"/>
      <w:bookmarkStart w:id="76" w:name="_Toc46474602"/>
      <w:r>
        <w:rPr>
          <w:rFonts w:hint="eastAsia" w:asciiTheme="minorEastAsia" w:hAnsiTheme="minorEastAsia" w:eastAsiaTheme="minorEastAsia"/>
          <w:sz w:val="24"/>
        </w:rPr>
        <w:t>2.参赛队员在报名获得审核确认后，原则上不再更换，如筹备过程中，队员因故不能参赛，须于相应赛项开赛</w:t>
      </w:r>
      <w:r>
        <w:rPr>
          <w:rFonts w:asciiTheme="minorEastAsia" w:hAnsiTheme="minorEastAsia" w:eastAsiaTheme="minorEastAsia"/>
          <w:sz w:val="24"/>
        </w:rPr>
        <w:t>10</w:t>
      </w:r>
      <w:r>
        <w:rPr>
          <w:rFonts w:hint="eastAsia" w:asciiTheme="minorEastAsia" w:hAnsiTheme="minorEastAsia" w:eastAsiaTheme="minorEastAsia"/>
          <w:sz w:val="24"/>
        </w:rPr>
        <w:t>个工作日之前向组委会出具书面说明并按相关规定补充人员并接受审核；竞赛开始后，参赛队不得更换参赛队员。</w:t>
      </w:r>
      <w:bookmarkEnd w:id="74"/>
      <w:bookmarkEnd w:id="75"/>
      <w:bookmarkEnd w:id="76"/>
    </w:p>
    <w:p>
      <w:pPr>
        <w:spacing w:line="360" w:lineRule="auto"/>
        <w:ind w:firstLine="480" w:firstLineChars="200"/>
        <w:rPr>
          <w:rFonts w:asciiTheme="minorEastAsia" w:hAnsiTheme="minorEastAsia" w:eastAsiaTheme="minorEastAsia"/>
          <w:sz w:val="24"/>
        </w:rPr>
      </w:pPr>
      <w:bookmarkStart w:id="77" w:name="_Toc46474603"/>
      <w:bookmarkStart w:id="78" w:name="_Toc46231204"/>
      <w:bookmarkStart w:id="79" w:name="_Toc43209768"/>
      <w:r>
        <w:rPr>
          <w:rFonts w:hint="eastAsia" w:asciiTheme="minorEastAsia" w:hAnsiTheme="minorEastAsia" w:eastAsiaTheme="minorEastAsia"/>
          <w:sz w:val="24"/>
        </w:rPr>
        <w:t>3.参赛队按照大赛赛程安排，凭大赛组委会颁发的参赛证，以及工作证明/学生证/身份证等参加竞赛及相关活动。</w:t>
      </w:r>
      <w:bookmarkEnd w:id="77"/>
      <w:bookmarkEnd w:id="78"/>
      <w:bookmarkEnd w:id="79"/>
    </w:p>
    <w:p>
      <w:pPr>
        <w:spacing w:line="360" w:lineRule="auto"/>
        <w:ind w:firstLine="480" w:firstLineChars="200"/>
        <w:rPr>
          <w:rFonts w:asciiTheme="minorEastAsia" w:hAnsiTheme="minorEastAsia" w:eastAsiaTheme="minorEastAsia"/>
          <w:sz w:val="24"/>
        </w:rPr>
      </w:pPr>
      <w:bookmarkStart w:id="80" w:name="_Toc46474604"/>
      <w:bookmarkStart w:id="81" w:name="_Toc46231205"/>
      <w:bookmarkStart w:id="82" w:name="_Toc43209769"/>
      <w:r>
        <w:rPr>
          <w:rFonts w:hint="eastAsia" w:asciiTheme="minorEastAsia" w:hAnsiTheme="minorEastAsia" w:eastAsiaTheme="minorEastAsia"/>
          <w:sz w:val="24"/>
        </w:rPr>
        <w:t>4.各参赛队按竞赛组委会统一安排参加竞赛前熟悉场地环境的活动，未按时参加视同放弃熟悉场地。</w:t>
      </w:r>
      <w:bookmarkEnd w:id="80"/>
      <w:bookmarkEnd w:id="81"/>
      <w:bookmarkEnd w:id="82"/>
    </w:p>
    <w:p>
      <w:pPr>
        <w:spacing w:line="360" w:lineRule="auto"/>
        <w:ind w:firstLine="480" w:firstLineChars="200"/>
        <w:rPr>
          <w:rFonts w:asciiTheme="minorEastAsia" w:hAnsiTheme="minorEastAsia" w:eastAsiaTheme="minorEastAsia"/>
          <w:sz w:val="24"/>
        </w:rPr>
      </w:pPr>
      <w:bookmarkStart w:id="83" w:name="_Toc46231206"/>
      <w:bookmarkStart w:id="84" w:name="_Toc43209770"/>
      <w:bookmarkStart w:id="85" w:name="_Toc46474605"/>
      <w:r>
        <w:rPr>
          <w:rFonts w:hint="eastAsia" w:asciiTheme="minorEastAsia" w:hAnsiTheme="minorEastAsia" w:eastAsiaTheme="minorEastAsia"/>
          <w:sz w:val="24"/>
        </w:rPr>
        <w:t>5.各参赛队按组委会统一要求，准时参加赛前领队会。</w:t>
      </w:r>
      <w:bookmarkEnd w:id="83"/>
      <w:bookmarkEnd w:id="84"/>
      <w:bookmarkEnd w:id="85"/>
    </w:p>
    <w:p>
      <w:pPr>
        <w:spacing w:line="360" w:lineRule="auto"/>
        <w:ind w:firstLine="480" w:firstLineChars="200"/>
        <w:rPr>
          <w:rFonts w:asciiTheme="minorEastAsia" w:hAnsiTheme="minorEastAsia" w:eastAsiaTheme="minorEastAsia"/>
          <w:sz w:val="24"/>
        </w:rPr>
      </w:pPr>
      <w:bookmarkStart w:id="86" w:name="_Toc46474606"/>
      <w:bookmarkStart w:id="87" w:name="_Toc43209771"/>
      <w:bookmarkStart w:id="88" w:name="_Toc46231207"/>
      <w:r>
        <w:rPr>
          <w:rFonts w:hint="eastAsia" w:asciiTheme="minorEastAsia" w:hAnsiTheme="minorEastAsia" w:eastAsiaTheme="minorEastAsia"/>
          <w:sz w:val="24"/>
        </w:rPr>
        <w:t>6.各参赛队在竞赛期间要注意饮食卫生，防止食物中毒。</w:t>
      </w:r>
      <w:bookmarkEnd w:id="86"/>
      <w:bookmarkEnd w:id="87"/>
      <w:bookmarkEnd w:id="88"/>
    </w:p>
    <w:p>
      <w:pPr>
        <w:spacing w:line="360" w:lineRule="auto"/>
        <w:ind w:firstLine="480" w:firstLineChars="200"/>
        <w:rPr>
          <w:rFonts w:asciiTheme="minorEastAsia" w:hAnsiTheme="minorEastAsia" w:eastAsiaTheme="minorEastAsia"/>
          <w:sz w:val="24"/>
        </w:rPr>
      </w:pPr>
      <w:bookmarkStart w:id="89" w:name="_Toc43209772"/>
      <w:bookmarkStart w:id="90" w:name="_Toc46474607"/>
      <w:bookmarkStart w:id="91" w:name="_Toc46231208"/>
      <w:r>
        <w:rPr>
          <w:rFonts w:hint="eastAsia" w:asciiTheme="minorEastAsia" w:hAnsiTheme="minorEastAsia" w:eastAsiaTheme="minorEastAsia"/>
          <w:sz w:val="24"/>
        </w:rPr>
        <w:t>7.各参赛队在竞赛期间，应保证所有人员的安全，防止交通事故和其它意外事故的发生，为领队、指导教师和参赛选手购买人身意外保险，报道时出具相关凭证，否则取消参赛资格。</w:t>
      </w:r>
      <w:bookmarkEnd w:id="89"/>
      <w:bookmarkEnd w:id="90"/>
      <w:bookmarkEnd w:id="91"/>
    </w:p>
    <w:p>
      <w:pPr>
        <w:spacing w:line="360" w:lineRule="auto"/>
        <w:ind w:firstLine="480" w:firstLineChars="200"/>
        <w:rPr>
          <w:rFonts w:asciiTheme="minorEastAsia" w:hAnsiTheme="minorEastAsia" w:eastAsiaTheme="minorEastAsia"/>
          <w:sz w:val="24"/>
        </w:rPr>
      </w:pPr>
      <w:bookmarkStart w:id="92" w:name="_Toc46474608"/>
      <w:bookmarkStart w:id="93" w:name="_Toc46231209"/>
      <w:bookmarkStart w:id="94" w:name="_Toc43209773"/>
      <w:r>
        <w:rPr>
          <w:rFonts w:hint="eastAsia" w:asciiTheme="minorEastAsia" w:hAnsiTheme="minorEastAsia" w:eastAsiaTheme="minorEastAsia"/>
          <w:sz w:val="24"/>
        </w:rPr>
        <w:t>8.各参赛队要发扬良好道德风尚，听从指挥，服从裁判，不弄虚作假。</w:t>
      </w:r>
      <w:bookmarkEnd w:id="73"/>
      <w:bookmarkEnd w:id="92"/>
      <w:bookmarkEnd w:id="93"/>
      <w:bookmarkEnd w:id="94"/>
    </w:p>
    <w:p>
      <w:pPr>
        <w:spacing w:line="360" w:lineRule="auto"/>
        <w:ind w:firstLine="480" w:firstLineChars="200"/>
        <w:outlineLvl w:val="0"/>
        <w:rPr>
          <w:rFonts w:asciiTheme="minorEastAsia" w:hAnsiTheme="minorEastAsia" w:eastAsiaTheme="minorEastAsia"/>
          <w:b/>
          <w:sz w:val="24"/>
        </w:rPr>
      </w:pPr>
      <w:bookmarkStart w:id="95" w:name="_Toc43209779"/>
      <w:bookmarkStart w:id="96" w:name="_Toc42633850"/>
      <w:bookmarkStart w:id="97" w:name="_Toc41742058"/>
      <w:bookmarkStart w:id="98" w:name="_Toc486438865"/>
      <w:bookmarkStart w:id="99" w:name="_Toc46474614"/>
      <w:bookmarkStart w:id="100" w:name="_Toc486438923"/>
      <w:bookmarkStart w:id="101" w:name="_Toc46231215"/>
      <w:bookmarkStart w:id="102" w:name="_Toc486438749"/>
      <w:r>
        <w:rPr>
          <w:rFonts w:hint="eastAsia" w:asciiTheme="minorEastAsia" w:hAnsiTheme="minorEastAsia" w:eastAsiaTheme="minorEastAsia"/>
          <w:b/>
          <w:sz w:val="24"/>
        </w:rPr>
        <w:t>（二）参赛选手须知</w:t>
      </w:r>
      <w:bookmarkEnd w:id="95"/>
      <w:bookmarkEnd w:id="96"/>
      <w:bookmarkEnd w:id="97"/>
      <w:bookmarkEnd w:id="98"/>
      <w:bookmarkEnd w:id="99"/>
      <w:bookmarkEnd w:id="100"/>
      <w:bookmarkEnd w:id="101"/>
      <w:bookmarkEnd w:id="102"/>
    </w:p>
    <w:p>
      <w:pPr>
        <w:spacing w:line="360" w:lineRule="auto"/>
        <w:ind w:firstLine="480" w:firstLineChars="200"/>
        <w:rPr>
          <w:rFonts w:asciiTheme="minorEastAsia" w:hAnsiTheme="minorEastAsia" w:eastAsiaTheme="minorEastAsia"/>
          <w:sz w:val="24"/>
        </w:rPr>
      </w:pPr>
      <w:bookmarkStart w:id="103" w:name="_Toc46474615"/>
      <w:bookmarkStart w:id="104" w:name="_Toc46231216"/>
      <w:bookmarkStart w:id="105" w:name="_Toc43209780"/>
      <w:bookmarkStart w:id="106" w:name="_Toc42633867"/>
      <w:r>
        <w:rPr>
          <w:rFonts w:hint="eastAsia" w:asciiTheme="minorEastAsia" w:hAnsiTheme="minorEastAsia" w:eastAsiaTheme="minorEastAsia"/>
          <w:sz w:val="24"/>
        </w:rPr>
        <w:t>1.参赛选手应严格遵守竞赛规则和竞赛纪律，服从裁判员和竞赛工作人员的统一指挥安排，自觉维护赛场秩序，不得因申诉或对处理意见不服而停止竞赛，否则以弃权处理。</w:t>
      </w:r>
      <w:bookmarkEnd w:id="103"/>
      <w:bookmarkEnd w:id="104"/>
      <w:bookmarkEnd w:id="105"/>
    </w:p>
    <w:p>
      <w:pPr>
        <w:spacing w:line="360" w:lineRule="auto"/>
        <w:ind w:firstLine="480" w:firstLineChars="200"/>
        <w:rPr>
          <w:rFonts w:asciiTheme="minorEastAsia" w:hAnsiTheme="minorEastAsia" w:eastAsiaTheme="minorEastAsia"/>
          <w:sz w:val="24"/>
        </w:rPr>
      </w:pPr>
      <w:bookmarkStart w:id="107" w:name="_Toc46231217"/>
      <w:bookmarkStart w:id="108" w:name="_Toc43209781"/>
      <w:bookmarkStart w:id="109" w:name="_Toc46474616"/>
      <w:r>
        <w:rPr>
          <w:rFonts w:hint="eastAsia" w:asciiTheme="minorEastAsia" w:hAnsiTheme="minorEastAsia" w:eastAsiaTheme="minorEastAsia"/>
          <w:sz w:val="24"/>
        </w:rPr>
        <w:t>2.参赛选手在赛前熟悉竞赛设备和竞赛时间内，应该严格遵守竞赛设备工艺守则和竞赛设备安全操作规程，杜绝出现安全事故。</w:t>
      </w:r>
      <w:bookmarkEnd w:id="107"/>
      <w:bookmarkEnd w:id="108"/>
      <w:bookmarkEnd w:id="109"/>
    </w:p>
    <w:p>
      <w:pPr>
        <w:spacing w:line="360" w:lineRule="auto"/>
        <w:ind w:firstLine="480" w:firstLineChars="200"/>
        <w:rPr>
          <w:rFonts w:asciiTheme="minorEastAsia" w:hAnsiTheme="minorEastAsia" w:eastAsiaTheme="minorEastAsia"/>
          <w:sz w:val="24"/>
        </w:rPr>
      </w:pPr>
      <w:bookmarkStart w:id="110" w:name="_Toc46474617"/>
      <w:bookmarkStart w:id="111" w:name="_Toc46231218"/>
      <w:bookmarkStart w:id="112" w:name="_Toc43209782"/>
      <w:r>
        <w:rPr>
          <w:rFonts w:hint="eastAsia" w:asciiTheme="minorEastAsia" w:hAnsiTheme="minorEastAsia" w:eastAsiaTheme="minorEastAsia"/>
          <w:sz w:val="24"/>
        </w:rPr>
        <w:t>3.参赛选手不得自行将通讯工具、任何技术资料、工具书、自编电子或文字资料、笔记本电脑、通讯工具、摄像工具以及其他即插即用的硬件设备带入比赛现场，否则取消选手比赛资格。</w:t>
      </w:r>
      <w:bookmarkEnd w:id="110"/>
      <w:bookmarkEnd w:id="111"/>
      <w:bookmarkEnd w:id="112"/>
    </w:p>
    <w:p>
      <w:pPr>
        <w:spacing w:line="360" w:lineRule="auto"/>
        <w:ind w:firstLine="480" w:firstLineChars="200"/>
        <w:rPr>
          <w:rFonts w:asciiTheme="minorEastAsia" w:hAnsiTheme="minorEastAsia" w:eastAsiaTheme="minorEastAsia"/>
          <w:sz w:val="24"/>
        </w:rPr>
      </w:pPr>
      <w:bookmarkStart w:id="113" w:name="_Toc46474618"/>
      <w:bookmarkStart w:id="114" w:name="_Toc46231219"/>
      <w:bookmarkStart w:id="115" w:name="_Toc43209783"/>
      <w:r>
        <w:rPr>
          <w:rFonts w:hint="eastAsia" w:asciiTheme="minorEastAsia" w:hAnsiTheme="minorEastAsia" w:eastAsiaTheme="minorEastAsia"/>
          <w:sz w:val="24"/>
        </w:rPr>
        <w:t>4.参赛选手应严格按竞赛流程进行竞赛。</w:t>
      </w:r>
      <w:bookmarkEnd w:id="113"/>
      <w:bookmarkEnd w:id="114"/>
      <w:bookmarkEnd w:id="115"/>
    </w:p>
    <w:p>
      <w:pPr>
        <w:spacing w:line="360" w:lineRule="auto"/>
        <w:ind w:firstLine="480" w:firstLineChars="200"/>
        <w:rPr>
          <w:rFonts w:asciiTheme="minorEastAsia" w:hAnsiTheme="minorEastAsia" w:eastAsiaTheme="minorEastAsia"/>
          <w:sz w:val="24"/>
        </w:rPr>
      </w:pPr>
      <w:bookmarkStart w:id="116" w:name="_Toc43209784"/>
      <w:bookmarkStart w:id="117" w:name="_Toc46474619"/>
      <w:bookmarkStart w:id="118" w:name="_Toc46231220"/>
      <w:r>
        <w:rPr>
          <w:rFonts w:hint="eastAsia" w:asciiTheme="minorEastAsia" w:hAnsiTheme="minorEastAsia" w:eastAsiaTheme="minorEastAsia"/>
          <w:sz w:val="24"/>
        </w:rPr>
        <w:t>5.参赛选手必须持本人身份证、并佩戴组委会签发的参赛证件，按竞赛规定的时间，到指定的场地参赛。</w:t>
      </w:r>
      <w:bookmarkEnd w:id="116"/>
      <w:bookmarkEnd w:id="117"/>
      <w:bookmarkEnd w:id="118"/>
    </w:p>
    <w:p>
      <w:pPr>
        <w:spacing w:line="360" w:lineRule="auto"/>
        <w:ind w:firstLine="480" w:firstLineChars="200"/>
        <w:rPr>
          <w:rFonts w:asciiTheme="minorEastAsia" w:hAnsiTheme="minorEastAsia" w:eastAsiaTheme="minorEastAsia"/>
          <w:sz w:val="24"/>
        </w:rPr>
      </w:pPr>
      <w:bookmarkStart w:id="119" w:name="_Toc43209785"/>
      <w:bookmarkStart w:id="120" w:name="_Toc46474620"/>
      <w:bookmarkStart w:id="121" w:name="_Toc46231221"/>
      <w:r>
        <w:rPr>
          <w:rFonts w:hint="eastAsia" w:asciiTheme="minorEastAsia" w:hAnsiTheme="minorEastAsia" w:eastAsiaTheme="minorEastAsia"/>
          <w:sz w:val="24"/>
        </w:rPr>
        <w:t>6.参赛选手须按时到赛场等候检录、抽签进入赛场，并按照指定赛位号参加比赛。正式竞赛开始尚未检录的选手，不得参加竞赛。已检录入场的参赛选手未经允许，不得擅自离开。</w:t>
      </w:r>
      <w:bookmarkEnd w:id="119"/>
      <w:bookmarkEnd w:id="120"/>
      <w:bookmarkEnd w:id="121"/>
    </w:p>
    <w:p>
      <w:pPr>
        <w:spacing w:line="360" w:lineRule="auto"/>
        <w:ind w:firstLine="480" w:firstLineChars="200"/>
        <w:rPr>
          <w:rFonts w:asciiTheme="minorEastAsia" w:hAnsiTheme="minorEastAsia" w:eastAsiaTheme="minorEastAsia"/>
          <w:sz w:val="24"/>
        </w:rPr>
      </w:pPr>
      <w:bookmarkStart w:id="122" w:name="_Toc46231222"/>
      <w:bookmarkStart w:id="123" w:name="_Toc43209786"/>
      <w:bookmarkStart w:id="124" w:name="_Toc46474621"/>
      <w:r>
        <w:rPr>
          <w:rFonts w:hint="eastAsia" w:asciiTheme="minorEastAsia" w:hAnsiTheme="minorEastAsia" w:eastAsiaTheme="minorEastAsia"/>
          <w:sz w:val="24"/>
        </w:rPr>
        <w:t>7.参赛选手按规定进入竞赛工位，在现场工作人员引导下，进行赛前准备，检查并确认竞赛设备、竞赛工位计算机和相关软件等，并签字确认。</w:t>
      </w:r>
      <w:bookmarkEnd w:id="122"/>
      <w:bookmarkEnd w:id="123"/>
      <w:bookmarkEnd w:id="124"/>
    </w:p>
    <w:p>
      <w:pPr>
        <w:spacing w:line="360" w:lineRule="auto"/>
        <w:ind w:firstLine="480" w:firstLineChars="200"/>
        <w:rPr>
          <w:rFonts w:asciiTheme="minorEastAsia" w:hAnsiTheme="minorEastAsia" w:eastAsiaTheme="minorEastAsia"/>
          <w:sz w:val="24"/>
        </w:rPr>
      </w:pPr>
      <w:bookmarkStart w:id="125" w:name="_Toc46474622"/>
      <w:bookmarkStart w:id="126" w:name="_Toc46231223"/>
      <w:bookmarkStart w:id="127" w:name="_Toc43209787"/>
      <w:r>
        <w:rPr>
          <w:rFonts w:hint="eastAsia" w:asciiTheme="minorEastAsia" w:hAnsiTheme="minorEastAsia" w:eastAsiaTheme="minorEastAsia"/>
          <w:sz w:val="24"/>
        </w:rPr>
        <w:t>8.裁判长宣布比赛开始，参赛选手方可进行竞赛操作。</w:t>
      </w:r>
      <w:bookmarkEnd w:id="125"/>
      <w:bookmarkEnd w:id="126"/>
      <w:bookmarkEnd w:id="127"/>
    </w:p>
    <w:p>
      <w:pPr>
        <w:spacing w:line="360" w:lineRule="auto"/>
        <w:ind w:firstLine="480" w:firstLineChars="200"/>
        <w:rPr>
          <w:rFonts w:asciiTheme="minorEastAsia" w:hAnsiTheme="minorEastAsia" w:eastAsiaTheme="minorEastAsia"/>
          <w:sz w:val="24"/>
        </w:rPr>
      </w:pPr>
      <w:bookmarkStart w:id="128" w:name="_Toc46231224"/>
      <w:bookmarkStart w:id="129" w:name="_Toc46474623"/>
      <w:bookmarkStart w:id="130" w:name="_Toc43209788"/>
      <w:r>
        <w:rPr>
          <w:rFonts w:hint="eastAsia" w:asciiTheme="minorEastAsia" w:hAnsiTheme="minorEastAsia" w:eastAsiaTheme="minorEastAsia"/>
          <w:sz w:val="24"/>
        </w:rPr>
        <w:t>9.参赛选手必须及时备份竞赛中自己的竞赛数据，并将全部数据文件存储至计算机指定盘符下，不按要求存储数据，导致数据丢失者，责任自负。</w:t>
      </w:r>
      <w:bookmarkEnd w:id="128"/>
      <w:bookmarkEnd w:id="129"/>
      <w:bookmarkEnd w:id="130"/>
    </w:p>
    <w:p>
      <w:pPr>
        <w:spacing w:line="360" w:lineRule="auto"/>
        <w:ind w:firstLine="480" w:firstLineChars="200"/>
        <w:rPr>
          <w:rFonts w:asciiTheme="minorEastAsia" w:hAnsiTheme="minorEastAsia" w:eastAsiaTheme="minorEastAsia"/>
          <w:sz w:val="24"/>
        </w:rPr>
      </w:pPr>
      <w:bookmarkStart w:id="131" w:name="_Toc43209789"/>
      <w:bookmarkStart w:id="132" w:name="_Toc46474624"/>
      <w:bookmarkStart w:id="133" w:name="_Toc46231225"/>
      <w:r>
        <w:rPr>
          <w:rFonts w:hint="eastAsia" w:asciiTheme="minorEastAsia" w:hAnsiTheme="minorEastAsia" w:eastAsiaTheme="minorEastAsia"/>
          <w:sz w:val="24"/>
        </w:rPr>
        <w:t>10.竞赛过程中，选手若需休息、饮水或去洗手间，一律计算在比赛时间内。饮水由赛场统一提供。</w:t>
      </w:r>
      <w:bookmarkEnd w:id="131"/>
      <w:bookmarkEnd w:id="132"/>
      <w:bookmarkEnd w:id="133"/>
    </w:p>
    <w:p>
      <w:pPr>
        <w:spacing w:line="360" w:lineRule="auto"/>
        <w:ind w:firstLine="480" w:firstLineChars="200"/>
        <w:rPr>
          <w:rFonts w:asciiTheme="minorEastAsia" w:hAnsiTheme="minorEastAsia" w:eastAsiaTheme="minorEastAsia"/>
          <w:sz w:val="24"/>
        </w:rPr>
      </w:pPr>
      <w:bookmarkStart w:id="134" w:name="_Toc43209790"/>
      <w:bookmarkStart w:id="135" w:name="_Toc46474625"/>
      <w:bookmarkStart w:id="136" w:name="_Toc46231226"/>
      <w:r>
        <w:rPr>
          <w:rFonts w:hint="eastAsia" w:asciiTheme="minorEastAsia" w:hAnsiTheme="minorEastAsia" w:eastAsiaTheme="minorEastAsia"/>
          <w:sz w:val="24"/>
        </w:rPr>
        <w:t>11.竞赛过程中，参赛选手须严格遵守相关操作规程，确保人身及设备安全，并接受裁判员的监督和警示，若因选手个人因素造成人身安全事故和设备故障，不予延时，情节特别严重者，由大赛裁判组视具体情况做出处理决定（最高至终止比赛）并由裁判长上报竞赛监督仲裁组；若因非选手个人因素造成设备故障，由大赛裁判组视具体情况做出延时处理并由裁判长上报竞赛监督仲裁组。</w:t>
      </w:r>
      <w:bookmarkEnd w:id="134"/>
      <w:bookmarkEnd w:id="135"/>
      <w:bookmarkEnd w:id="136"/>
    </w:p>
    <w:p>
      <w:pPr>
        <w:spacing w:line="360" w:lineRule="auto"/>
        <w:ind w:firstLine="480" w:firstLineChars="200"/>
        <w:rPr>
          <w:rFonts w:asciiTheme="minorEastAsia" w:hAnsiTheme="minorEastAsia" w:eastAsiaTheme="minorEastAsia"/>
          <w:sz w:val="24"/>
        </w:rPr>
      </w:pPr>
      <w:bookmarkStart w:id="137" w:name="_Toc46474626"/>
      <w:bookmarkStart w:id="138" w:name="_Toc43209791"/>
      <w:bookmarkStart w:id="139" w:name="_Toc46231227"/>
      <w:r>
        <w:rPr>
          <w:rFonts w:hint="eastAsia" w:asciiTheme="minorEastAsia" w:hAnsiTheme="minorEastAsia" w:eastAsiaTheme="minorEastAsia"/>
          <w:sz w:val="24"/>
        </w:rPr>
        <w:t>12.参赛选手在竞赛过程中不得擅自离开赛场，如有特殊情况，需经裁判员同意后，特殊处理。</w:t>
      </w:r>
      <w:bookmarkEnd w:id="137"/>
      <w:bookmarkEnd w:id="138"/>
      <w:bookmarkEnd w:id="139"/>
    </w:p>
    <w:p>
      <w:pPr>
        <w:spacing w:line="360" w:lineRule="auto"/>
        <w:ind w:firstLine="480" w:firstLineChars="200"/>
        <w:rPr>
          <w:rFonts w:asciiTheme="minorEastAsia" w:hAnsiTheme="minorEastAsia" w:eastAsiaTheme="minorEastAsia"/>
          <w:sz w:val="24"/>
        </w:rPr>
      </w:pPr>
      <w:bookmarkStart w:id="140" w:name="_Toc46474627"/>
      <w:bookmarkStart w:id="141" w:name="_Toc46231228"/>
      <w:bookmarkStart w:id="142" w:name="_Toc43209792"/>
      <w:r>
        <w:rPr>
          <w:rFonts w:hint="eastAsia" w:asciiTheme="minorEastAsia" w:hAnsiTheme="minorEastAsia" w:eastAsiaTheme="minorEastAsia"/>
          <w:sz w:val="24"/>
        </w:rPr>
        <w:t>13.参赛选手在比赛过程中，如遇问题，需举手向裁判人员提问。选手之间不得发生任何交流，否则，按作弊处理。</w:t>
      </w:r>
      <w:bookmarkEnd w:id="140"/>
      <w:bookmarkEnd w:id="141"/>
      <w:bookmarkEnd w:id="142"/>
    </w:p>
    <w:p>
      <w:pPr>
        <w:spacing w:line="360" w:lineRule="auto"/>
        <w:ind w:firstLine="480" w:firstLineChars="200"/>
        <w:rPr>
          <w:rFonts w:asciiTheme="minorEastAsia" w:hAnsiTheme="minorEastAsia" w:eastAsiaTheme="minorEastAsia"/>
          <w:sz w:val="24"/>
        </w:rPr>
      </w:pPr>
      <w:bookmarkStart w:id="143" w:name="_Toc46231229"/>
      <w:bookmarkStart w:id="144" w:name="_Toc46474628"/>
      <w:bookmarkStart w:id="145" w:name="_Toc43209793"/>
      <w:r>
        <w:rPr>
          <w:rFonts w:hint="eastAsia" w:asciiTheme="minorEastAsia" w:hAnsiTheme="minorEastAsia" w:eastAsiaTheme="minorEastAsia"/>
          <w:sz w:val="24"/>
        </w:rPr>
        <w:t>14.裁判长在比赛结束前15分钟对选手做出提示。裁判长宣布比赛结束后，选手应立即停止竞赛操作，并按下竞赛设备停止键，现场裁判员监督竞赛设备的停止，在规定时间内必须把竞赛作品、赛题、图纸、U盘、草稿纸等所有相关内容上交至现场裁判员，如选手未按规定执行，裁判有权按下竞赛设备停止键，要求选手至指定位置。</w:t>
      </w:r>
      <w:bookmarkEnd w:id="143"/>
      <w:bookmarkEnd w:id="144"/>
      <w:bookmarkEnd w:id="145"/>
    </w:p>
    <w:p>
      <w:pPr>
        <w:spacing w:line="360" w:lineRule="auto"/>
        <w:ind w:firstLine="480" w:firstLineChars="200"/>
        <w:rPr>
          <w:rFonts w:asciiTheme="minorEastAsia" w:hAnsiTheme="minorEastAsia" w:eastAsiaTheme="minorEastAsia"/>
          <w:sz w:val="24"/>
        </w:rPr>
      </w:pPr>
      <w:bookmarkStart w:id="146" w:name="_Toc46231230"/>
      <w:bookmarkStart w:id="147" w:name="_Toc46474629"/>
      <w:bookmarkStart w:id="148" w:name="_Toc43209794"/>
      <w:r>
        <w:rPr>
          <w:rFonts w:hint="eastAsia" w:asciiTheme="minorEastAsia" w:hAnsiTheme="minorEastAsia" w:eastAsiaTheme="minorEastAsia"/>
          <w:sz w:val="24"/>
        </w:rPr>
        <w:t>15.竞赛结束后，由现场裁判员和选手检查确认提交的内容，现场裁判员当选手面封装上交竞赛作品，选手在收件表上签字确认，现场裁判员签字确认。</w:t>
      </w:r>
      <w:bookmarkEnd w:id="146"/>
      <w:bookmarkEnd w:id="147"/>
      <w:bookmarkEnd w:id="148"/>
    </w:p>
    <w:p>
      <w:pPr>
        <w:spacing w:line="360" w:lineRule="auto"/>
        <w:ind w:firstLine="480" w:firstLineChars="200"/>
        <w:rPr>
          <w:rFonts w:asciiTheme="minorEastAsia" w:hAnsiTheme="minorEastAsia" w:eastAsiaTheme="minorEastAsia"/>
          <w:sz w:val="24"/>
        </w:rPr>
      </w:pPr>
      <w:bookmarkStart w:id="149" w:name="_Toc46474630"/>
      <w:bookmarkStart w:id="150" w:name="_Toc43209795"/>
      <w:bookmarkStart w:id="151" w:name="_Toc46231231"/>
      <w:r>
        <w:rPr>
          <w:rFonts w:hint="eastAsia" w:asciiTheme="minorEastAsia" w:hAnsiTheme="minorEastAsia" w:eastAsiaTheme="minorEastAsia"/>
          <w:sz w:val="24"/>
        </w:rPr>
        <w:t>16.比赛结束，选手应立即清理现场，包括竞赛设备及周边卫生并恢复竞赛设备原始状态等。经现场裁判员和现场工作人员确认后方可离开工位。经裁判长统一确认后，选手统一离开赛场。此项工作将在选手职业素养环节进行评判。</w:t>
      </w:r>
      <w:bookmarkEnd w:id="149"/>
      <w:bookmarkEnd w:id="150"/>
      <w:bookmarkEnd w:id="151"/>
    </w:p>
    <w:p>
      <w:pPr>
        <w:spacing w:line="360" w:lineRule="auto"/>
        <w:ind w:firstLine="480" w:firstLineChars="200"/>
        <w:rPr>
          <w:rFonts w:asciiTheme="minorEastAsia" w:hAnsiTheme="minorEastAsia" w:eastAsiaTheme="minorEastAsia"/>
          <w:sz w:val="24"/>
        </w:rPr>
      </w:pPr>
      <w:bookmarkStart w:id="152" w:name="_Toc43209796"/>
      <w:bookmarkStart w:id="153" w:name="_Toc46231232"/>
      <w:bookmarkStart w:id="154" w:name="_Toc46474631"/>
      <w:r>
        <w:rPr>
          <w:rFonts w:hint="eastAsia" w:asciiTheme="minorEastAsia" w:hAnsiTheme="minorEastAsia" w:eastAsiaTheme="minorEastAsia"/>
          <w:sz w:val="24"/>
        </w:rPr>
        <w:t>17.参赛选手在竞赛期间未经组委会的批准，不得接受其他单位和个人进行的与竞赛内容相关的采访；参赛选手不得私自公开比赛相关资料。</w:t>
      </w:r>
      <w:bookmarkEnd w:id="106"/>
      <w:bookmarkEnd w:id="152"/>
      <w:bookmarkEnd w:id="153"/>
      <w:bookmarkEnd w:id="154"/>
    </w:p>
    <w:p>
      <w:pPr>
        <w:spacing w:line="360" w:lineRule="auto"/>
        <w:ind w:firstLine="480" w:firstLineChars="200"/>
        <w:outlineLvl w:val="0"/>
        <w:rPr>
          <w:rFonts w:asciiTheme="minorEastAsia" w:hAnsiTheme="minorEastAsia" w:eastAsiaTheme="minorEastAsia"/>
          <w:b/>
          <w:sz w:val="24"/>
        </w:rPr>
      </w:pPr>
      <w:bookmarkStart w:id="155" w:name="_Toc41742059"/>
      <w:bookmarkStart w:id="156" w:name="_Toc486438866"/>
      <w:bookmarkStart w:id="157" w:name="_Toc42633868"/>
      <w:bookmarkStart w:id="158" w:name="_Toc486438750"/>
      <w:bookmarkStart w:id="159" w:name="_Toc486438924"/>
      <w:bookmarkStart w:id="160" w:name="_Toc46231233"/>
      <w:bookmarkStart w:id="161" w:name="_Toc43209797"/>
      <w:bookmarkStart w:id="162" w:name="_Toc46474632"/>
      <w:r>
        <w:rPr>
          <w:rFonts w:hint="eastAsia" w:asciiTheme="minorEastAsia" w:hAnsiTheme="minorEastAsia" w:eastAsiaTheme="minorEastAsia"/>
          <w:b/>
          <w:sz w:val="24"/>
        </w:rPr>
        <w:t>（三）工作人员须知</w:t>
      </w:r>
      <w:bookmarkEnd w:id="155"/>
      <w:bookmarkEnd w:id="156"/>
      <w:bookmarkEnd w:id="157"/>
      <w:bookmarkEnd w:id="158"/>
      <w:bookmarkEnd w:id="159"/>
      <w:bookmarkEnd w:id="160"/>
      <w:bookmarkEnd w:id="161"/>
      <w:bookmarkEnd w:id="162"/>
    </w:p>
    <w:p>
      <w:pPr>
        <w:spacing w:line="360" w:lineRule="auto"/>
        <w:ind w:firstLine="480" w:firstLineChars="200"/>
        <w:rPr>
          <w:rFonts w:asciiTheme="minorEastAsia" w:hAnsiTheme="minorEastAsia" w:eastAsiaTheme="minorEastAsia"/>
          <w:sz w:val="24"/>
        </w:rPr>
      </w:pPr>
      <w:bookmarkStart w:id="163" w:name="_Toc46474633"/>
      <w:bookmarkStart w:id="164" w:name="_Toc46231234"/>
      <w:bookmarkStart w:id="165" w:name="_Toc43209798"/>
      <w:bookmarkStart w:id="166" w:name="_Toc42633875"/>
      <w:r>
        <w:rPr>
          <w:rFonts w:hint="eastAsia" w:asciiTheme="minorEastAsia" w:hAnsiTheme="minorEastAsia" w:eastAsiaTheme="minorEastAsia"/>
          <w:sz w:val="24"/>
        </w:rPr>
        <w:t>1.工作人员必须服从赛项组委会统一指挥，佩戴工作人员标识，认真履行职责，做好竞赛服务工作。</w:t>
      </w:r>
      <w:bookmarkEnd w:id="163"/>
      <w:bookmarkEnd w:id="164"/>
      <w:bookmarkEnd w:id="165"/>
    </w:p>
    <w:p>
      <w:pPr>
        <w:spacing w:line="360" w:lineRule="auto"/>
        <w:ind w:firstLine="480" w:firstLineChars="200"/>
        <w:rPr>
          <w:rFonts w:asciiTheme="minorEastAsia" w:hAnsiTheme="minorEastAsia" w:eastAsiaTheme="minorEastAsia"/>
          <w:sz w:val="24"/>
        </w:rPr>
      </w:pPr>
      <w:bookmarkStart w:id="167" w:name="_Toc46231235"/>
      <w:bookmarkStart w:id="168" w:name="_Toc46474634"/>
      <w:bookmarkStart w:id="169" w:name="_Toc43209799"/>
      <w:r>
        <w:rPr>
          <w:rFonts w:hint="eastAsia" w:asciiTheme="minorEastAsia" w:hAnsiTheme="minorEastAsia" w:eastAsiaTheme="minorEastAsia"/>
          <w:sz w:val="24"/>
        </w:rPr>
        <w:t>2.工作人员按照分工准时上岗，不得擅自离岗，应认真履行各自的工作职责，保证竞赛工作的顺利进行。</w:t>
      </w:r>
      <w:bookmarkEnd w:id="167"/>
      <w:bookmarkEnd w:id="168"/>
      <w:bookmarkEnd w:id="169"/>
    </w:p>
    <w:p>
      <w:pPr>
        <w:spacing w:line="360" w:lineRule="auto"/>
        <w:ind w:firstLine="480" w:firstLineChars="200"/>
        <w:rPr>
          <w:rFonts w:asciiTheme="minorEastAsia" w:hAnsiTheme="minorEastAsia" w:eastAsiaTheme="minorEastAsia"/>
          <w:sz w:val="24"/>
        </w:rPr>
      </w:pPr>
      <w:bookmarkStart w:id="170" w:name="_Toc43209800"/>
      <w:bookmarkStart w:id="171" w:name="_Toc46474635"/>
      <w:bookmarkStart w:id="172" w:name="_Toc46231236"/>
      <w:r>
        <w:rPr>
          <w:rFonts w:hint="eastAsia" w:asciiTheme="minorEastAsia" w:hAnsiTheme="minorEastAsia" w:eastAsiaTheme="minorEastAsia"/>
          <w:sz w:val="24"/>
        </w:rPr>
        <w:t>3.工作人员应在规定的区域内工作，未经许可，不得擅自进入竞赛场地。如需进场，需经过裁判长同意，核准证件，有裁判跟随入场。</w:t>
      </w:r>
      <w:bookmarkEnd w:id="170"/>
      <w:bookmarkEnd w:id="171"/>
      <w:bookmarkEnd w:id="172"/>
    </w:p>
    <w:p>
      <w:pPr>
        <w:spacing w:line="360" w:lineRule="auto"/>
        <w:ind w:firstLine="480" w:firstLineChars="200"/>
        <w:rPr>
          <w:rFonts w:asciiTheme="minorEastAsia" w:hAnsiTheme="minorEastAsia" w:eastAsiaTheme="minorEastAsia"/>
          <w:sz w:val="24"/>
        </w:rPr>
      </w:pPr>
      <w:bookmarkStart w:id="173" w:name="_Toc43209801"/>
      <w:bookmarkStart w:id="174" w:name="_Toc46231237"/>
      <w:bookmarkStart w:id="175" w:name="_Toc46474636"/>
      <w:r>
        <w:rPr>
          <w:rFonts w:hint="eastAsia" w:asciiTheme="minorEastAsia" w:hAnsiTheme="minorEastAsia" w:eastAsiaTheme="minorEastAsia"/>
          <w:sz w:val="24"/>
        </w:rPr>
        <w:t>4.如遇突发事件，须及时向裁判员报告，同时做好疏导工作，避免重大事故发生。</w:t>
      </w:r>
      <w:bookmarkEnd w:id="173"/>
      <w:bookmarkEnd w:id="174"/>
      <w:bookmarkEnd w:id="175"/>
    </w:p>
    <w:p>
      <w:pPr>
        <w:spacing w:line="360" w:lineRule="auto"/>
        <w:ind w:firstLine="480" w:firstLineChars="200"/>
        <w:rPr>
          <w:rFonts w:asciiTheme="minorEastAsia" w:hAnsiTheme="minorEastAsia" w:eastAsiaTheme="minorEastAsia"/>
          <w:sz w:val="24"/>
        </w:rPr>
      </w:pPr>
      <w:bookmarkStart w:id="176" w:name="_Toc46474637"/>
      <w:bookmarkStart w:id="177" w:name="_Toc46231238"/>
      <w:bookmarkStart w:id="178" w:name="_Toc43209802"/>
      <w:r>
        <w:rPr>
          <w:rFonts w:hint="eastAsia" w:asciiTheme="minorEastAsia" w:hAnsiTheme="minorEastAsia" w:eastAsiaTheme="minorEastAsia"/>
          <w:sz w:val="24"/>
        </w:rPr>
        <w:t>5.竞赛期间，工作人员不得干涉及个人工作职责之外的事宜，不得利用工作之便，弄虚作假、徇私舞弊。如有上述现象或因工作不负责任的情况，造成竞赛程序无法继续进行，由组委会视情节轻重，给予通报批评或停止工作，并通知其所在单位做出相应处理。</w:t>
      </w:r>
      <w:bookmarkEnd w:id="176"/>
      <w:bookmarkEnd w:id="177"/>
      <w:bookmarkEnd w:id="178"/>
    </w:p>
    <w:p>
      <w:pPr>
        <w:spacing w:line="360" w:lineRule="auto"/>
        <w:ind w:firstLine="480" w:firstLineChars="200"/>
        <w:rPr>
          <w:rFonts w:asciiTheme="minorEastAsia" w:hAnsiTheme="minorEastAsia" w:eastAsiaTheme="minorEastAsia"/>
          <w:sz w:val="24"/>
        </w:rPr>
      </w:pPr>
      <w:bookmarkStart w:id="179" w:name="_Toc43209803"/>
      <w:bookmarkStart w:id="180" w:name="_Toc46231239"/>
      <w:bookmarkStart w:id="181" w:name="_Toc46474638"/>
      <w:r>
        <w:rPr>
          <w:rFonts w:hint="eastAsia" w:asciiTheme="minorEastAsia" w:hAnsiTheme="minorEastAsia" w:eastAsiaTheme="minorEastAsia"/>
          <w:sz w:val="24"/>
        </w:rPr>
        <w:t>6.各类赛务人员必须统一佩戴由大赛组委会签发的相关证件，着装整齐。</w:t>
      </w:r>
      <w:bookmarkEnd w:id="179"/>
      <w:bookmarkEnd w:id="180"/>
      <w:bookmarkEnd w:id="181"/>
    </w:p>
    <w:p>
      <w:pPr>
        <w:spacing w:line="360" w:lineRule="auto"/>
        <w:ind w:firstLine="480" w:firstLineChars="200"/>
        <w:rPr>
          <w:rFonts w:asciiTheme="minorEastAsia" w:hAnsiTheme="minorEastAsia" w:eastAsiaTheme="minorEastAsia"/>
          <w:sz w:val="24"/>
        </w:rPr>
      </w:pPr>
      <w:bookmarkStart w:id="182" w:name="_Toc46474639"/>
      <w:bookmarkStart w:id="183" w:name="_Toc46231240"/>
      <w:bookmarkStart w:id="184" w:name="_Toc43209804"/>
      <w:r>
        <w:rPr>
          <w:rFonts w:hint="eastAsia" w:asciiTheme="minorEastAsia" w:hAnsiTheme="minorEastAsia" w:eastAsiaTheme="minorEastAsia"/>
          <w:sz w:val="24"/>
        </w:rPr>
        <w:t>7.除现场裁判员和参赛选手外，其他人员不得进入竞赛区域。赛场安全员、设备和软件技术支持人员、工作人员必须在指定区域等待，未经裁判长允许不得进入竞赛区域，候场选手不得进入赛场。</w:t>
      </w:r>
      <w:bookmarkEnd w:id="166"/>
      <w:bookmarkEnd w:id="182"/>
      <w:bookmarkEnd w:id="183"/>
      <w:bookmarkEnd w:id="184"/>
    </w:p>
    <w:p>
      <w:pPr>
        <w:spacing w:line="360" w:lineRule="auto"/>
        <w:ind w:firstLine="480" w:firstLineChars="200"/>
        <w:outlineLvl w:val="0"/>
        <w:rPr>
          <w:rFonts w:asciiTheme="minorEastAsia" w:hAnsiTheme="minorEastAsia" w:eastAsiaTheme="minorEastAsia"/>
          <w:b/>
          <w:sz w:val="24"/>
        </w:rPr>
      </w:pPr>
      <w:bookmarkStart w:id="185" w:name="_Toc331270114"/>
      <w:bookmarkStart w:id="186" w:name="_Toc42633876"/>
      <w:bookmarkStart w:id="187" w:name="_Toc41742060"/>
      <w:bookmarkStart w:id="188" w:name="_Toc46231241"/>
      <w:bookmarkStart w:id="189" w:name="_Toc486438751"/>
      <w:bookmarkStart w:id="190" w:name="_Toc486438867"/>
      <w:bookmarkStart w:id="191" w:name="_Toc486438925"/>
      <w:bookmarkStart w:id="192" w:name="_Toc43209805"/>
      <w:bookmarkStart w:id="193" w:name="_Toc46474640"/>
      <w:r>
        <w:rPr>
          <w:rFonts w:hint="eastAsia" w:asciiTheme="minorEastAsia" w:hAnsiTheme="minorEastAsia" w:eastAsiaTheme="minorEastAsia"/>
          <w:b/>
          <w:sz w:val="24"/>
        </w:rPr>
        <w:t>（四）裁判员</w:t>
      </w:r>
      <w:bookmarkEnd w:id="185"/>
      <w:r>
        <w:rPr>
          <w:rFonts w:hint="eastAsia" w:asciiTheme="minorEastAsia" w:hAnsiTheme="minorEastAsia" w:eastAsiaTheme="minorEastAsia"/>
          <w:b/>
          <w:sz w:val="24"/>
        </w:rPr>
        <w:t>须知</w:t>
      </w:r>
      <w:bookmarkEnd w:id="186"/>
      <w:bookmarkEnd w:id="187"/>
      <w:bookmarkEnd w:id="188"/>
      <w:bookmarkEnd w:id="189"/>
      <w:bookmarkEnd w:id="190"/>
      <w:bookmarkEnd w:id="191"/>
      <w:bookmarkEnd w:id="192"/>
      <w:bookmarkEnd w:id="193"/>
    </w:p>
    <w:p>
      <w:pPr>
        <w:spacing w:line="360" w:lineRule="auto"/>
        <w:ind w:firstLine="480" w:firstLineChars="200"/>
        <w:rPr>
          <w:rFonts w:asciiTheme="minorEastAsia" w:hAnsiTheme="minorEastAsia" w:eastAsiaTheme="minorEastAsia"/>
          <w:sz w:val="24"/>
        </w:rPr>
      </w:pPr>
      <w:bookmarkStart w:id="194" w:name="_Toc46231242"/>
      <w:bookmarkStart w:id="195" w:name="_Toc46474641"/>
      <w:bookmarkStart w:id="196" w:name="_Toc43209806"/>
      <w:bookmarkStart w:id="197" w:name="_Toc42633889"/>
      <w:r>
        <w:rPr>
          <w:rFonts w:hint="eastAsia" w:asciiTheme="minorEastAsia" w:hAnsiTheme="minorEastAsia" w:eastAsiaTheme="minorEastAsia"/>
          <w:sz w:val="24"/>
        </w:rPr>
        <w:t>1.裁判员须佩带裁判员标识上岗。执裁期间，统一着装，举止文明礼貌，接受参赛人员的监督。</w:t>
      </w:r>
      <w:bookmarkEnd w:id="194"/>
      <w:bookmarkEnd w:id="195"/>
      <w:bookmarkEnd w:id="196"/>
    </w:p>
    <w:p>
      <w:pPr>
        <w:spacing w:line="360" w:lineRule="auto"/>
        <w:ind w:firstLine="480" w:firstLineChars="200"/>
        <w:rPr>
          <w:rFonts w:asciiTheme="minorEastAsia" w:hAnsiTheme="minorEastAsia" w:eastAsiaTheme="minorEastAsia"/>
          <w:sz w:val="24"/>
        </w:rPr>
      </w:pPr>
      <w:bookmarkStart w:id="198" w:name="_Toc43209807"/>
      <w:bookmarkStart w:id="199" w:name="_Toc46474642"/>
      <w:bookmarkStart w:id="200" w:name="_Toc46231243"/>
      <w:r>
        <w:rPr>
          <w:rFonts w:hint="eastAsia" w:asciiTheme="minorEastAsia" w:hAnsiTheme="minorEastAsia" w:eastAsiaTheme="minorEastAsia"/>
          <w:sz w:val="24"/>
        </w:rPr>
        <w:t>2.严守竞赛纪律，执行竞赛规则，服从赛项组委会和裁判长的领导。按照分工开展工作，始终坚守工作岗位，不得擅自离岗。</w:t>
      </w:r>
      <w:bookmarkEnd w:id="198"/>
      <w:bookmarkEnd w:id="199"/>
      <w:bookmarkEnd w:id="200"/>
    </w:p>
    <w:p>
      <w:pPr>
        <w:spacing w:line="360" w:lineRule="auto"/>
        <w:ind w:firstLine="480" w:firstLineChars="200"/>
        <w:rPr>
          <w:rFonts w:asciiTheme="minorEastAsia" w:hAnsiTheme="minorEastAsia" w:eastAsiaTheme="minorEastAsia"/>
          <w:sz w:val="24"/>
        </w:rPr>
      </w:pPr>
      <w:bookmarkStart w:id="201" w:name="_Toc46231244"/>
      <w:bookmarkStart w:id="202" w:name="_Toc46474643"/>
      <w:bookmarkStart w:id="203" w:name="_Toc43209808"/>
      <w:r>
        <w:rPr>
          <w:rFonts w:hint="eastAsia" w:asciiTheme="minorEastAsia" w:hAnsiTheme="minorEastAsia" w:eastAsiaTheme="minorEastAsia"/>
          <w:sz w:val="24"/>
        </w:rPr>
        <w:t>3.裁判员的工作分为加密裁判、现场执裁、评判裁判等。</w:t>
      </w:r>
      <w:bookmarkEnd w:id="201"/>
      <w:bookmarkEnd w:id="202"/>
      <w:bookmarkEnd w:id="203"/>
    </w:p>
    <w:p>
      <w:pPr>
        <w:spacing w:line="360" w:lineRule="auto"/>
        <w:ind w:firstLine="480" w:firstLineChars="200"/>
        <w:rPr>
          <w:rFonts w:asciiTheme="minorEastAsia" w:hAnsiTheme="minorEastAsia" w:eastAsiaTheme="minorEastAsia"/>
          <w:sz w:val="24"/>
        </w:rPr>
      </w:pPr>
      <w:bookmarkStart w:id="204" w:name="_Toc46231245"/>
      <w:bookmarkStart w:id="205" w:name="_Toc46474644"/>
      <w:bookmarkStart w:id="206" w:name="_Toc43209809"/>
      <w:r>
        <w:rPr>
          <w:rFonts w:hint="eastAsia" w:asciiTheme="minorEastAsia" w:hAnsiTheme="minorEastAsia" w:eastAsiaTheme="minorEastAsia"/>
          <w:sz w:val="24"/>
        </w:rPr>
        <w:t>4.裁判员在工作期间严禁使用各种器材进行摄像或照相。</w:t>
      </w:r>
      <w:bookmarkEnd w:id="204"/>
      <w:bookmarkEnd w:id="205"/>
      <w:bookmarkEnd w:id="206"/>
    </w:p>
    <w:p>
      <w:pPr>
        <w:spacing w:line="360" w:lineRule="auto"/>
        <w:ind w:firstLine="480" w:firstLineChars="200"/>
        <w:rPr>
          <w:rFonts w:asciiTheme="minorEastAsia" w:hAnsiTheme="minorEastAsia" w:eastAsiaTheme="minorEastAsia"/>
          <w:sz w:val="24"/>
        </w:rPr>
      </w:pPr>
      <w:bookmarkStart w:id="207" w:name="_Toc43209810"/>
      <w:bookmarkStart w:id="208" w:name="_Toc46231246"/>
      <w:bookmarkStart w:id="209" w:name="_Toc46474645"/>
      <w:r>
        <w:rPr>
          <w:rFonts w:hint="eastAsia" w:asciiTheme="minorEastAsia" w:hAnsiTheme="minorEastAsia" w:eastAsiaTheme="minorEastAsia"/>
          <w:sz w:val="24"/>
        </w:rPr>
        <w:t>5.现场执裁的裁判员负责检查选手携带的物品，违规物品一律清出赛场，比赛结束后裁判员要命令选手停止竞赛操作。</w:t>
      </w:r>
      <w:bookmarkEnd w:id="207"/>
      <w:bookmarkEnd w:id="208"/>
      <w:bookmarkEnd w:id="209"/>
    </w:p>
    <w:p>
      <w:pPr>
        <w:spacing w:line="360" w:lineRule="auto"/>
        <w:ind w:firstLine="480" w:firstLineChars="200"/>
        <w:rPr>
          <w:rFonts w:asciiTheme="minorEastAsia" w:hAnsiTheme="minorEastAsia" w:eastAsiaTheme="minorEastAsia"/>
          <w:sz w:val="24"/>
        </w:rPr>
      </w:pPr>
      <w:bookmarkStart w:id="210" w:name="_Toc43209811"/>
      <w:bookmarkStart w:id="211" w:name="_Toc46474646"/>
      <w:bookmarkStart w:id="212" w:name="_Toc46231247"/>
      <w:r>
        <w:rPr>
          <w:rFonts w:hint="eastAsia" w:asciiTheme="minorEastAsia" w:hAnsiTheme="minorEastAsia" w:eastAsiaTheme="minorEastAsia"/>
          <w:sz w:val="24"/>
        </w:rPr>
        <w:t>6.竞赛中所有裁判员不得影响选手正常竞赛。</w:t>
      </w:r>
      <w:bookmarkEnd w:id="210"/>
      <w:bookmarkEnd w:id="211"/>
      <w:bookmarkEnd w:id="212"/>
    </w:p>
    <w:p>
      <w:pPr>
        <w:spacing w:line="360" w:lineRule="auto"/>
        <w:ind w:firstLine="480" w:firstLineChars="200"/>
        <w:rPr>
          <w:rFonts w:asciiTheme="minorEastAsia" w:hAnsiTheme="minorEastAsia" w:eastAsiaTheme="minorEastAsia"/>
          <w:sz w:val="24"/>
        </w:rPr>
      </w:pPr>
      <w:bookmarkStart w:id="213" w:name="_Toc46474647"/>
      <w:bookmarkStart w:id="214" w:name="_Toc43209812"/>
      <w:bookmarkStart w:id="215" w:name="_Toc46231248"/>
      <w:r>
        <w:rPr>
          <w:rFonts w:hint="eastAsia" w:asciiTheme="minorEastAsia" w:hAnsiTheme="minorEastAsia" w:eastAsiaTheme="minorEastAsia"/>
          <w:sz w:val="24"/>
        </w:rPr>
        <w:t>7.严格执行赛场纪律，不得向参赛选手暗示或解答与竞赛有关的内容。及时制止选手的违纪行为。对裁判工作中有争议的技术问题、突发事件要及时处理、妥善解决，并及时向裁判长汇报。</w:t>
      </w:r>
      <w:bookmarkEnd w:id="213"/>
      <w:bookmarkEnd w:id="214"/>
      <w:bookmarkEnd w:id="215"/>
    </w:p>
    <w:p>
      <w:pPr>
        <w:spacing w:line="360" w:lineRule="auto"/>
        <w:ind w:firstLine="480" w:firstLineChars="200"/>
        <w:rPr>
          <w:rFonts w:asciiTheme="minorEastAsia" w:hAnsiTheme="minorEastAsia" w:eastAsiaTheme="minorEastAsia"/>
          <w:sz w:val="24"/>
        </w:rPr>
      </w:pPr>
      <w:bookmarkStart w:id="216" w:name="_Toc43209813"/>
      <w:bookmarkStart w:id="217" w:name="_Toc46474648"/>
      <w:bookmarkStart w:id="218" w:name="_Toc46231249"/>
      <w:r>
        <w:rPr>
          <w:rFonts w:hint="eastAsia" w:asciiTheme="minorEastAsia" w:hAnsiTheme="minorEastAsia" w:eastAsiaTheme="minorEastAsia"/>
          <w:sz w:val="24"/>
        </w:rPr>
        <w:t>8.要提醒选手注意操作安全，对于选手的违规操作或有可能引发人生伤害、设备损坏等事故的行为，应立即制止并向现场负责人报告。</w:t>
      </w:r>
      <w:bookmarkEnd w:id="216"/>
      <w:bookmarkEnd w:id="217"/>
      <w:bookmarkEnd w:id="218"/>
    </w:p>
    <w:p>
      <w:pPr>
        <w:spacing w:line="360" w:lineRule="auto"/>
        <w:ind w:firstLine="480" w:firstLineChars="200"/>
        <w:rPr>
          <w:rFonts w:asciiTheme="minorEastAsia" w:hAnsiTheme="minorEastAsia" w:eastAsiaTheme="minorEastAsia"/>
          <w:sz w:val="24"/>
        </w:rPr>
      </w:pPr>
      <w:bookmarkStart w:id="219" w:name="_Toc43209814"/>
      <w:bookmarkStart w:id="220" w:name="_Toc46231250"/>
      <w:bookmarkStart w:id="221" w:name="_Toc46474649"/>
      <w:r>
        <w:rPr>
          <w:rFonts w:hint="eastAsia" w:asciiTheme="minorEastAsia" w:hAnsiTheme="minorEastAsia" w:eastAsiaTheme="minorEastAsia"/>
          <w:sz w:val="24"/>
        </w:rPr>
        <w:t>9.严格执行竞赛项目评分标准，做到公平、公正、真实、准确，杜绝随意打分；严禁利用工作之便，弄虚作假、徇私舞弊。</w:t>
      </w:r>
      <w:bookmarkEnd w:id="219"/>
      <w:bookmarkEnd w:id="220"/>
      <w:bookmarkEnd w:id="221"/>
    </w:p>
    <w:p>
      <w:pPr>
        <w:spacing w:line="360" w:lineRule="auto"/>
        <w:ind w:firstLine="480" w:firstLineChars="200"/>
        <w:rPr>
          <w:rFonts w:asciiTheme="minorEastAsia" w:hAnsiTheme="minorEastAsia" w:eastAsiaTheme="minorEastAsia"/>
          <w:sz w:val="24"/>
        </w:rPr>
      </w:pPr>
      <w:bookmarkStart w:id="222" w:name="_Toc43209815"/>
      <w:bookmarkStart w:id="223" w:name="_Toc46231251"/>
      <w:bookmarkStart w:id="224" w:name="_Toc46474650"/>
      <w:r>
        <w:rPr>
          <w:rFonts w:hint="eastAsia" w:asciiTheme="minorEastAsia" w:hAnsiTheme="minorEastAsia" w:eastAsiaTheme="minorEastAsia"/>
          <w:sz w:val="24"/>
        </w:rPr>
        <w:t>10.严格遵守保密纪律。裁判员不得私自与参赛选手或代表队联系，不得透露竞赛的有关情况。</w:t>
      </w:r>
      <w:bookmarkEnd w:id="222"/>
      <w:bookmarkEnd w:id="223"/>
      <w:bookmarkEnd w:id="224"/>
    </w:p>
    <w:p>
      <w:pPr>
        <w:spacing w:line="360" w:lineRule="auto"/>
        <w:ind w:firstLine="480" w:firstLineChars="200"/>
        <w:rPr>
          <w:rFonts w:asciiTheme="minorEastAsia" w:hAnsiTheme="minorEastAsia" w:eastAsiaTheme="minorEastAsia"/>
          <w:sz w:val="24"/>
        </w:rPr>
      </w:pPr>
      <w:bookmarkStart w:id="225" w:name="_Toc46474651"/>
      <w:bookmarkStart w:id="226" w:name="_Toc43209816"/>
      <w:bookmarkStart w:id="227" w:name="_Toc46231252"/>
      <w:r>
        <w:rPr>
          <w:rFonts w:hint="eastAsia" w:asciiTheme="minorEastAsia" w:hAnsiTheme="minorEastAsia" w:eastAsiaTheme="minorEastAsia"/>
          <w:sz w:val="24"/>
        </w:rPr>
        <w:t>11.裁判员必须参加赛前培训，否则取消竞赛裁判资格。</w:t>
      </w:r>
      <w:bookmarkEnd w:id="225"/>
      <w:bookmarkEnd w:id="226"/>
      <w:bookmarkEnd w:id="227"/>
    </w:p>
    <w:p>
      <w:pPr>
        <w:spacing w:line="360" w:lineRule="auto"/>
        <w:ind w:firstLine="480" w:firstLineChars="200"/>
        <w:rPr>
          <w:rFonts w:asciiTheme="minorEastAsia" w:hAnsiTheme="minorEastAsia" w:eastAsiaTheme="minorEastAsia"/>
          <w:sz w:val="24"/>
        </w:rPr>
      </w:pPr>
      <w:bookmarkStart w:id="228" w:name="_Toc46474652"/>
      <w:bookmarkStart w:id="229" w:name="_Toc46231253"/>
      <w:bookmarkStart w:id="230" w:name="_Toc43209817"/>
      <w:r>
        <w:rPr>
          <w:rFonts w:hint="eastAsia" w:asciiTheme="minorEastAsia" w:hAnsiTheme="minorEastAsia" w:eastAsiaTheme="minorEastAsia"/>
          <w:sz w:val="24"/>
        </w:rPr>
        <w:t>12.竞赛过程中如出现问题或异议，服从裁判长的裁决。</w:t>
      </w:r>
      <w:bookmarkEnd w:id="228"/>
      <w:bookmarkEnd w:id="229"/>
      <w:bookmarkEnd w:id="230"/>
    </w:p>
    <w:p>
      <w:pPr>
        <w:spacing w:line="360" w:lineRule="auto"/>
        <w:ind w:firstLine="480" w:firstLineChars="200"/>
        <w:rPr>
          <w:rFonts w:asciiTheme="minorEastAsia" w:hAnsiTheme="minorEastAsia" w:eastAsiaTheme="minorEastAsia"/>
          <w:sz w:val="24"/>
        </w:rPr>
      </w:pPr>
      <w:bookmarkStart w:id="231" w:name="_Toc43209818"/>
      <w:bookmarkStart w:id="232" w:name="_Toc46474653"/>
      <w:bookmarkStart w:id="233" w:name="_Toc46231254"/>
      <w:r>
        <w:rPr>
          <w:rFonts w:hint="eastAsia" w:asciiTheme="minorEastAsia" w:hAnsiTheme="minorEastAsia" w:eastAsiaTheme="minorEastAsia"/>
          <w:sz w:val="24"/>
        </w:rPr>
        <w:t>13.竞赛期间，因裁判人员工作不负责任，造成竞赛程序无法继续进行或评判结果不真实的情况，由组委会视情节轻重，给予通报批评或停止裁判资格，并通知其所在单位做出相应处理。</w:t>
      </w:r>
      <w:bookmarkEnd w:id="197"/>
      <w:bookmarkEnd w:id="231"/>
      <w:bookmarkEnd w:id="232"/>
      <w:bookmarkEnd w:id="233"/>
    </w:p>
    <w:p>
      <w:pPr>
        <w:pStyle w:val="2"/>
        <w:spacing w:before="156" w:beforeLines="50" w:after="0" w:line="360" w:lineRule="auto"/>
        <w:ind w:firstLine="480" w:firstLineChars="200"/>
        <w:rPr>
          <w:sz w:val="24"/>
        </w:rPr>
      </w:pPr>
      <w:bookmarkStart w:id="234" w:name="_Toc41742062"/>
      <w:bookmarkStart w:id="235" w:name="_Toc486438869"/>
      <w:bookmarkStart w:id="236" w:name="_Toc46474654"/>
      <w:bookmarkStart w:id="237" w:name="_Toc486438753"/>
      <w:bookmarkStart w:id="238" w:name="_Toc486438927"/>
      <w:r>
        <w:rPr>
          <w:rFonts w:hint="eastAsia"/>
          <w:sz w:val="24"/>
        </w:rPr>
        <w:t>十一、开放现场的要求</w:t>
      </w:r>
      <w:bookmarkEnd w:id="234"/>
      <w:bookmarkEnd w:id="235"/>
      <w:bookmarkEnd w:id="236"/>
      <w:bookmarkEnd w:id="237"/>
      <w:bookmarkEnd w:id="238"/>
    </w:p>
    <w:p>
      <w:pPr>
        <w:spacing w:line="360" w:lineRule="auto"/>
        <w:ind w:firstLine="480" w:firstLineChars="200"/>
        <w:rPr>
          <w:rFonts w:asciiTheme="minorEastAsia" w:hAnsiTheme="minorEastAsia" w:eastAsiaTheme="minorEastAsia"/>
          <w:sz w:val="24"/>
        </w:rPr>
      </w:pPr>
      <w:bookmarkStart w:id="239" w:name="_Toc43209820"/>
      <w:bookmarkStart w:id="240" w:name="_Toc41742063"/>
      <w:bookmarkStart w:id="241" w:name="_Toc486438928"/>
      <w:bookmarkStart w:id="242" w:name="_Toc46474655"/>
      <w:bookmarkStart w:id="243" w:name="_Toc46231256"/>
      <w:bookmarkStart w:id="244" w:name="_Toc42633891"/>
      <w:bookmarkStart w:id="245" w:name="_Toc496033213"/>
      <w:bookmarkStart w:id="246" w:name="_Toc486438870"/>
      <w:bookmarkStart w:id="247" w:name="_Toc486438754"/>
      <w:r>
        <w:rPr>
          <w:rFonts w:hint="eastAsia" w:asciiTheme="minorEastAsia" w:hAnsiTheme="minorEastAsia" w:eastAsiaTheme="minorEastAsia"/>
          <w:sz w:val="24"/>
        </w:rPr>
        <w:t>（一）对于公众开放的要求</w:t>
      </w:r>
      <w:bookmarkEnd w:id="239"/>
      <w:bookmarkEnd w:id="240"/>
      <w:bookmarkEnd w:id="241"/>
      <w:bookmarkEnd w:id="242"/>
      <w:bookmarkEnd w:id="243"/>
      <w:bookmarkEnd w:id="244"/>
      <w:bookmarkEnd w:id="245"/>
      <w:bookmarkEnd w:id="246"/>
      <w:bookmarkEnd w:id="247"/>
    </w:p>
    <w:p>
      <w:pPr>
        <w:spacing w:line="360" w:lineRule="auto"/>
        <w:ind w:firstLine="480" w:firstLineChars="200"/>
        <w:rPr>
          <w:rFonts w:asciiTheme="minorEastAsia" w:hAnsiTheme="minorEastAsia" w:eastAsiaTheme="minorEastAsia"/>
          <w:sz w:val="24"/>
        </w:rPr>
      </w:pPr>
      <w:bookmarkStart w:id="248" w:name="_Toc46474656"/>
      <w:bookmarkStart w:id="249" w:name="_Toc42633892"/>
      <w:bookmarkStart w:id="250" w:name="_Toc43209821"/>
      <w:bookmarkStart w:id="251" w:name="_Toc46231257"/>
      <w:r>
        <w:rPr>
          <w:rFonts w:hint="eastAsia" w:asciiTheme="minorEastAsia" w:hAnsiTheme="minorEastAsia" w:eastAsiaTheme="minorEastAsia"/>
          <w:sz w:val="24"/>
        </w:rPr>
        <w:t>公众可在赛场指定区域进行观摩，不得进入选手竞赛区域。</w:t>
      </w:r>
      <w:bookmarkEnd w:id="248"/>
      <w:bookmarkEnd w:id="249"/>
      <w:bookmarkEnd w:id="250"/>
      <w:bookmarkEnd w:id="251"/>
    </w:p>
    <w:p>
      <w:pPr>
        <w:spacing w:line="360" w:lineRule="auto"/>
        <w:ind w:firstLine="480" w:firstLineChars="200"/>
        <w:rPr>
          <w:rFonts w:asciiTheme="minorEastAsia" w:hAnsiTheme="minorEastAsia" w:eastAsiaTheme="minorEastAsia"/>
          <w:sz w:val="24"/>
        </w:rPr>
      </w:pPr>
      <w:bookmarkStart w:id="252" w:name="_Toc486438929"/>
      <w:bookmarkStart w:id="253" w:name="_Toc41742064"/>
      <w:bookmarkStart w:id="254" w:name="_Toc42633893"/>
      <w:bookmarkStart w:id="255" w:name="_Toc486438871"/>
      <w:bookmarkStart w:id="256" w:name="_Toc46231258"/>
      <w:bookmarkStart w:id="257" w:name="_Toc46474657"/>
      <w:bookmarkStart w:id="258" w:name="_Toc43209822"/>
      <w:bookmarkStart w:id="259" w:name="_Toc486438755"/>
      <w:r>
        <w:rPr>
          <w:rFonts w:hint="eastAsia" w:asciiTheme="minorEastAsia" w:hAnsiTheme="minorEastAsia" w:eastAsiaTheme="minorEastAsia"/>
          <w:sz w:val="24"/>
        </w:rPr>
        <w:t>（二）关于赞助商和宣传的要求</w:t>
      </w:r>
      <w:bookmarkEnd w:id="252"/>
      <w:bookmarkEnd w:id="253"/>
      <w:bookmarkEnd w:id="254"/>
      <w:bookmarkEnd w:id="255"/>
      <w:bookmarkEnd w:id="256"/>
      <w:bookmarkEnd w:id="257"/>
      <w:bookmarkEnd w:id="258"/>
      <w:bookmarkEnd w:id="259"/>
    </w:p>
    <w:p>
      <w:pPr>
        <w:spacing w:line="360" w:lineRule="auto"/>
        <w:ind w:firstLine="480" w:firstLineChars="200"/>
        <w:rPr>
          <w:rFonts w:asciiTheme="minorEastAsia" w:hAnsiTheme="minorEastAsia" w:eastAsiaTheme="minorEastAsia"/>
          <w:sz w:val="24"/>
        </w:rPr>
      </w:pPr>
      <w:bookmarkStart w:id="260" w:name="_Toc42633894"/>
      <w:bookmarkStart w:id="261" w:name="_Toc46474658"/>
      <w:bookmarkStart w:id="262" w:name="_Toc46231259"/>
      <w:bookmarkStart w:id="263" w:name="_Toc43209823"/>
      <w:r>
        <w:rPr>
          <w:rFonts w:hint="eastAsia" w:asciiTheme="minorEastAsia" w:hAnsiTheme="minorEastAsia" w:eastAsiaTheme="minorEastAsia"/>
          <w:sz w:val="24"/>
        </w:rPr>
        <w:t>经大赛组委会允许的赞助商和负责宣传的媒体记者，按竞赛规则的要求进入赛场相关区域。上述相关人员不得妨碍、烦扰选手竞赛，不得有任何影响竞赛公平、公正的行为。</w:t>
      </w:r>
      <w:bookmarkEnd w:id="260"/>
      <w:bookmarkEnd w:id="261"/>
      <w:bookmarkEnd w:id="262"/>
      <w:bookmarkEnd w:id="263"/>
      <w:bookmarkStart w:id="270" w:name="_GoBack"/>
      <w:bookmarkEnd w:id="270"/>
    </w:p>
    <w:p>
      <w:pPr>
        <w:pStyle w:val="2"/>
        <w:spacing w:before="156" w:beforeLines="50" w:after="0" w:line="360" w:lineRule="auto"/>
        <w:ind w:firstLine="480" w:firstLineChars="200"/>
        <w:rPr>
          <w:sz w:val="24"/>
        </w:rPr>
      </w:pPr>
      <w:bookmarkStart w:id="264" w:name="_Toc46474659"/>
      <w:r>
        <w:rPr>
          <w:rFonts w:hint="eastAsia"/>
          <w:sz w:val="24"/>
        </w:rPr>
        <w:t>十二、绿色环保</w:t>
      </w:r>
      <w:bookmarkEnd w:id="34"/>
      <w:bookmarkEnd w:id="35"/>
      <w:bookmarkEnd w:id="36"/>
      <w:bookmarkEnd w:id="37"/>
      <w:bookmarkEnd w:id="264"/>
    </w:p>
    <w:p>
      <w:pPr>
        <w:spacing w:line="360" w:lineRule="auto"/>
        <w:ind w:firstLine="480" w:firstLineChars="200"/>
        <w:rPr>
          <w:rFonts w:asciiTheme="minorEastAsia" w:hAnsiTheme="minorEastAsia" w:eastAsiaTheme="minorEastAsia"/>
          <w:sz w:val="24"/>
        </w:rPr>
      </w:pPr>
      <w:bookmarkStart w:id="265" w:name="_Toc46474660"/>
      <w:bookmarkStart w:id="266" w:name="_Toc42633896"/>
      <w:bookmarkStart w:id="267" w:name="_Toc46231261"/>
      <w:bookmarkStart w:id="268" w:name="_Toc43209825"/>
      <w:r>
        <w:rPr>
          <w:rFonts w:hint="eastAsia" w:asciiTheme="minorEastAsia" w:hAnsiTheme="minorEastAsia" w:eastAsiaTheme="minorEastAsia"/>
          <w:sz w:val="24"/>
        </w:rPr>
        <w:t>竞赛应注重环境保护，绝不允许破坏环境，提倡绿色环保办赛。</w:t>
      </w:r>
      <w:bookmarkEnd w:id="265"/>
      <w:bookmarkEnd w:id="266"/>
      <w:bookmarkEnd w:id="267"/>
      <w:bookmarkEnd w:id="268"/>
    </w:p>
    <w:p>
      <w:pPr>
        <w:pStyle w:val="2"/>
        <w:spacing w:before="156" w:beforeLines="50" w:after="0" w:line="360" w:lineRule="auto"/>
        <w:ind w:firstLine="480" w:firstLineChars="200"/>
        <w:rPr>
          <w:sz w:val="24"/>
        </w:rPr>
      </w:pPr>
      <w:bookmarkStart w:id="269" w:name="_Toc46474661"/>
      <w:r>
        <w:rPr>
          <w:rFonts w:hint="eastAsia"/>
          <w:sz w:val="24"/>
        </w:rPr>
        <w:t>十三、联系方式</w:t>
      </w:r>
      <w:bookmarkEnd w:id="269"/>
    </w:p>
    <w:p>
      <w:pPr>
        <w:spacing w:line="360" w:lineRule="auto"/>
        <w:ind w:firstLine="480" w:firstLineChars="200"/>
        <w:rPr>
          <w:sz w:val="24"/>
        </w:rPr>
      </w:pPr>
      <w:r>
        <w:rPr>
          <w:rFonts w:hint="eastAsia"/>
          <w:sz w:val="24"/>
        </w:rPr>
        <w:t xml:space="preserve">邱 </w:t>
      </w:r>
      <w:r>
        <w:rPr>
          <w:sz w:val="24"/>
        </w:rPr>
        <w:t xml:space="preserve"> </w:t>
      </w:r>
      <w:r>
        <w:rPr>
          <w:rFonts w:hint="eastAsia"/>
          <w:sz w:val="24"/>
        </w:rPr>
        <w:t>云  电话：</w:t>
      </w:r>
      <w:r>
        <w:rPr>
          <w:sz w:val="24"/>
        </w:rPr>
        <w:t>13594107802</w:t>
      </w:r>
      <w:r>
        <w:rPr>
          <w:rFonts w:hint="eastAsia"/>
          <w:sz w:val="24"/>
        </w:rPr>
        <w:t xml:space="preserve">  邮箱：</w:t>
      </w:r>
      <w:r>
        <w:rPr>
          <w:sz w:val="24"/>
        </w:rPr>
        <w:t>87522165</w:t>
      </w:r>
      <w:r>
        <w:rPr>
          <w:rFonts w:hint="eastAsia"/>
          <w:sz w:val="24"/>
        </w:rPr>
        <w:t>@qq.</w:t>
      </w:r>
      <w:r>
        <w:rPr>
          <w:sz w:val="24"/>
        </w:rPr>
        <w:t>com</w:t>
      </w:r>
    </w:p>
    <w:p>
      <w:pPr>
        <w:spacing w:line="360" w:lineRule="auto"/>
        <w:ind w:firstLine="480" w:firstLineChars="200"/>
        <w:rPr>
          <w:sz w:val="24"/>
        </w:rPr>
      </w:pPr>
    </w:p>
    <w:p>
      <w:pPr>
        <w:spacing w:line="360" w:lineRule="auto"/>
        <w:ind w:firstLine="480" w:firstLineChars="200"/>
        <w:rPr>
          <w:sz w:val="24"/>
        </w:rPr>
      </w:pPr>
    </w:p>
    <w:sectPr>
      <w:footerReference r:id="rId4" w:type="default"/>
      <w:pgSz w:w="11906" w:h="16838"/>
      <w:pgMar w:top="1701" w:right="1525" w:bottom="1701" w:left="1525"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宋体-18030">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080062"/>
      <w:docPartObj>
        <w:docPartGallery w:val="AutoText"/>
      </w:docPartObj>
    </w:sdtPr>
    <w:sdtEndPr>
      <w:rPr>
        <w:sz w:val="21"/>
        <w:szCs w:val="21"/>
      </w:rPr>
    </w:sdtEndPr>
    <w:sdtContent>
      <w:p>
        <w:pPr>
          <w:pStyle w:val="14"/>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35"/>
    <w:rsid w:val="000006A3"/>
    <w:rsid w:val="00000D11"/>
    <w:rsid w:val="000013A1"/>
    <w:rsid w:val="000017AC"/>
    <w:rsid w:val="000041D6"/>
    <w:rsid w:val="00004413"/>
    <w:rsid w:val="000049AE"/>
    <w:rsid w:val="00005450"/>
    <w:rsid w:val="00005642"/>
    <w:rsid w:val="00006D95"/>
    <w:rsid w:val="0001097F"/>
    <w:rsid w:val="000114BC"/>
    <w:rsid w:val="0001173D"/>
    <w:rsid w:val="00012941"/>
    <w:rsid w:val="00013B89"/>
    <w:rsid w:val="0001534F"/>
    <w:rsid w:val="000160DF"/>
    <w:rsid w:val="000170C8"/>
    <w:rsid w:val="000173D2"/>
    <w:rsid w:val="0001745F"/>
    <w:rsid w:val="00017B1C"/>
    <w:rsid w:val="00020127"/>
    <w:rsid w:val="000202A7"/>
    <w:rsid w:val="000219C6"/>
    <w:rsid w:val="000227EF"/>
    <w:rsid w:val="000227F6"/>
    <w:rsid w:val="00023B3B"/>
    <w:rsid w:val="0002421A"/>
    <w:rsid w:val="0002489C"/>
    <w:rsid w:val="00024B5B"/>
    <w:rsid w:val="00025426"/>
    <w:rsid w:val="00030C6C"/>
    <w:rsid w:val="000315C0"/>
    <w:rsid w:val="00033A95"/>
    <w:rsid w:val="00033F37"/>
    <w:rsid w:val="00035469"/>
    <w:rsid w:val="00036E63"/>
    <w:rsid w:val="000371B0"/>
    <w:rsid w:val="00037B8D"/>
    <w:rsid w:val="00037F7D"/>
    <w:rsid w:val="00037FF6"/>
    <w:rsid w:val="00043586"/>
    <w:rsid w:val="00045460"/>
    <w:rsid w:val="00046228"/>
    <w:rsid w:val="000464A5"/>
    <w:rsid w:val="000471DC"/>
    <w:rsid w:val="00047BA8"/>
    <w:rsid w:val="0005030D"/>
    <w:rsid w:val="00051BAF"/>
    <w:rsid w:val="00052A23"/>
    <w:rsid w:val="000546F0"/>
    <w:rsid w:val="00054AF3"/>
    <w:rsid w:val="00054C56"/>
    <w:rsid w:val="000557A3"/>
    <w:rsid w:val="000557E2"/>
    <w:rsid w:val="00055C91"/>
    <w:rsid w:val="0005631C"/>
    <w:rsid w:val="000603DF"/>
    <w:rsid w:val="00061E8F"/>
    <w:rsid w:val="00062D29"/>
    <w:rsid w:val="00063115"/>
    <w:rsid w:val="0006419E"/>
    <w:rsid w:val="00064BD6"/>
    <w:rsid w:val="00064C72"/>
    <w:rsid w:val="00065BBE"/>
    <w:rsid w:val="00066124"/>
    <w:rsid w:val="00066360"/>
    <w:rsid w:val="000663FD"/>
    <w:rsid w:val="0006717A"/>
    <w:rsid w:val="0007153E"/>
    <w:rsid w:val="00071A28"/>
    <w:rsid w:val="00071EDB"/>
    <w:rsid w:val="00072987"/>
    <w:rsid w:val="00072AA8"/>
    <w:rsid w:val="00073436"/>
    <w:rsid w:val="00073ACE"/>
    <w:rsid w:val="00073DB9"/>
    <w:rsid w:val="000751DF"/>
    <w:rsid w:val="000751E7"/>
    <w:rsid w:val="000776C4"/>
    <w:rsid w:val="00080530"/>
    <w:rsid w:val="00080DF5"/>
    <w:rsid w:val="00082E86"/>
    <w:rsid w:val="00085F66"/>
    <w:rsid w:val="00085F7F"/>
    <w:rsid w:val="00087486"/>
    <w:rsid w:val="000875EA"/>
    <w:rsid w:val="000903CA"/>
    <w:rsid w:val="00091D7A"/>
    <w:rsid w:val="000924B7"/>
    <w:rsid w:val="00092DBA"/>
    <w:rsid w:val="00092F47"/>
    <w:rsid w:val="000938BB"/>
    <w:rsid w:val="00093A31"/>
    <w:rsid w:val="000952C3"/>
    <w:rsid w:val="00096521"/>
    <w:rsid w:val="00097F03"/>
    <w:rsid w:val="000A02E4"/>
    <w:rsid w:val="000A0B34"/>
    <w:rsid w:val="000A0D4C"/>
    <w:rsid w:val="000A1722"/>
    <w:rsid w:val="000A41D8"/>
    <w:rsid w:val="000A4A67"/>
    <w:rsid w:val="000A555A"/>
    <w:rsid w:val="000A5ED3"/>
    <w:rsid w:val="000A76A8"/>
    <w:rsid w:val="000B09A6"/>
    <w:rsid w:val="000B3980"/>
    <w:rsid w:val="000B3A6D"/>
    <w:rsid w:val="000B3AFC"/>
    <w:rsid w:val="000B5C3B"/>
    <w:rsid w:val="000B62EB"/>
    <w:rsid w:val="000B76C5"/>
    <w:rsid w:val="000C0ABB"/>
    <w:rsid w:val="000C2C58"/>
    <w:rsid w:val="000C376D"/>
    <w:rsid w:val="000C4084"/>
    <w:rsid w:val="000C4366"/>
    <w:rsid w:val="000C4490"/>
    <w:rsid w:val="000C4926"/>
    <w:rsid w:val="000C4B92"/>
    <w:rsid w:val="000C5528"/>
    <w:rsid w:val="000C64B6"/>
    <w:rsid w:val="000D42FC"/>
    <w:rsid w:val="000D4CEE"/>
    <w:rsid w:val="000D5284"/>
    <w:rsid w:val="000D59D6"/>
    <w:rsid w:val="000D63F9"/>
    <w:rsid w:val="000D6798"/>
    <w:rsid w:val="000D6C22"/>
    <w:rsid w:val="000D72CB"/>
    <w:rsid w:val="000D7588"/>
    <w:rsid w:val="000D773F"/>
    <w:rsid w:val="000E0442"/>
    <w:rsid w:val="000E1900"/>
    <w:rsid w:val="000E1FB1"/>
    <w:rsid w:val="000E2E28"/>
    <w:rsid w:val="000E3A7C"/>
    <w:rsid w:val="000E3C7A"/>
    <w:rsid w:val="000E4065"/>
    <w:rsid w:val="000E462F"/>
    <w:rsid w:val="000E50D7"/>
    <w:rsid w:val="000E5962"/>
    <w:rsid w:val="000E66FB"/>
    <w:rsid w:val="000E6AAF"/>
    <w:rsid w:val="000E7D06"/>
    <w:rsid w:val="000E7D9B"/>
    <w:rsid w:val="000F0D55"/>
    <w:rsid w:val="000F1382"/>
    <w:rsid w:val="000F22C0"/>
    <w:rsid w:val="000F25EB"/>
    <w:rsid w:val="000F26F2"/>
    <w:rsid w:val="000F2F41"/>
    <w:rsid w:val="000F2F69"/>
    <w:rsid w:val="000F2F6A"/>
    <w:rsid w:val="000F3857"/>
    <w:rsid w:val="000F44BD"/>
    <w:rsid w:val="000F56FC"/>
    <w:rsid w:val="000F6546"/>
    <w:rsid w:val="000F6901"/>
    <w:rsid w:val="000F7909"/>
    <w:rsid w:val="0010025C"/>
    <w:rsid w:val="001008B1"/>
    <w:rsid w:val="0010287F"/>
    <w:rsid w:val="00102DBA"/>
    <w:rsid w:val="00103502"/>
    <w:rsid w:val="001048C0"/>
    <w:rsid w:val="00105269"/>
    <w:rsid w:val="00105943"/>
    <w:rsid w:val="00105BC6"/>
    <w:rsid w:val="00106818"/>
    <w:rsid w:val="00110754"/>
    <w:rsid w:val="00110884"/>
    <w:rsid w:val="001110D3"/>
    <w:rsid w:val="00111434"/>
    <w:rsid w:val="00113740"/>
    <w:rsid w:val="0011429B"/>
    <w:rsid w:val="00114497"/>
    <w:rsid w:val="00114AB1"/>
    <w:rsid w:val="00116AAF"/>
    <w:rsid w:val="00116D1D"/>
    <w:rsid w:val="001176AA"/>
    <w:rsid w:val="0012359B"/>
    <w:rsid w:val="00123D23"/>
    <w:rsid w:val="00125B0B"/>
    <w:rsid w:val="00126DFD"/>
    <w:rsid w:val="0012773E"/>
    <w:rsid w:val="00127F90"/>
    <w:rsid w:val="00130438"/>
    <w:rsid w:val="00130923"/>
    <w:rsid w:val="00131061"/>
    <w:rsid w:val="00131E78"/>
    <w:rsid w:val="00133029"/>
    <w:rsid w:val="0013430C"/>
    <w:rsid w:val="001357E0"/>
    <w:rsid w:val="001360B4"/>
    <w:rsid w:val="001365C6"/>
    <w:rsid w:val="0013682B"/>
    <w:rsid w:val="00140A3F"/>
    <w:rsid w:val="00143B40"/>
    <w:rsid w:val="001445E4"/>
    <w:rsid w:val="0014480E"/>
    <w:rsid w:val="00145C44"/>
    <w:rsid w:val="00147028"/>
    <w:rsid w:val="0015003F"/>
    <w:rsid w:val="00151F8E"/>
    <w:rsid w:val="001521F9"/>
    <w:rsid w:val="001530DD"/>
    <w:rsid w:val="00153197"/>
    <w:rsid w:val="00153D6A"/>
    <w:rsid w:val="00154BFC"/>
    <w:rsid w:val="00155B9A"/>
    <w:rsid w:val="00155CAE"/>
    <w:rsid w:val="001570B2"/>
    <w:rsid w:val="0015741D"/>
    <w:rsid w:val="001574FF"/>
    <w:rsid w:val="001575A8"/>
    <w:rsid w:val="00157ABC"/>
    <w:rsid w:val="00157D0A"/>
    <w:rsid w:val="0016068F"/>
    <w:rsid w:val="00160E3B"/>
    <w:rsid w:val="00161625"/>
    <w:rsid w:val="00161803"/>
    <w:rsid w:val="00161DA8"/>
    <w:rsid w:val="00162206"/>
    <w:rsid w:val="00162F1A"/>
    <w:rsid w:val="00163200"/>
    <w:rsid w:val="00164CAD"/>
    <w:rsid w:val="00164E52"/>
    <w:rsid w:val="001650B4"/>
    <w:rsid w:val="0016584E"/>
    <w:rsid w:val="00165DC1"/>
    <w:rsid w:val="001664F2"/>
    <w:rsid w:val="00166821"/>
    <w:rsid w:val="0016694B"/>
    <w:rsid w:val="00170677"/>
    <w:rsid w:val="00170B94"/>
    <w:rsid w:val="00172BA3"/>
    <w:rsid w:val="001740DB"/>
    <w:rsid w:val="0017429B"/>
    <w:rsid w:val="00174810"/>
    <w:rsid w:val="001757AA"/>
    <w:rsid w:val="00176244"/>
    <w:rsid w:val="00176D6D"/>
    <w:rsid w:val="0017760A"/>
    <w:rsid w:val="0017764B"/>
    <w:rsid w:val="00180036"/>
    <w:rsid w:val="00180F75"/>
    <w:rsid w:val="001832FE"/>
    <w:rsid w:val="00184CA2"/>
    <w:rsid w:val="00185EE1"/>
    <w:rsid w:val="001867E6"/>
    <w:rsid w:val="00187064"/>
    <w:rsid w:val="00187C75"/>
    <w:rsid w:val="00190782"/>
    <w:rsid w:val="00190EA8"/>
    <w:rsid w:val="00193AAF"/>
    <w:rsid w:val="001949C3"/>
    <w:rsid w:val="00194BDB"/>
    <w:rsid w:val="001978A7"/>
    <w:rsid w:val="001A0185"/>
    <w:rsid w:val="001A0E66"/>
    <w:rsid w:val="001A0EBE"/>
    <w:rsid w:val="001A1072"/>
    <w:rsid w:val="001A2486"/>
    <w:rsid w:val="001A291F"/>
    <w:rsid w:val="001A32D9"/>
    <w:rsid w:val="001A3F9B"/>
    <w:rsid w:val="001A42A1"/>
    <w:rsid w:val="001A4799"/>
    <w:rsid w:val="001A48C1"/>
    <w:rsid w:val="001A60D3"/>
    <w:rsid w:val="001A659F"/>
    <w:rsid w:val="001A6A71"/>
    <w:rsid w:val="001A6E74"/>
    <w:rsid w:val="001A71FB"/>
    <w:rsid w:val="001B09D3"/>
    <w:rsid w:val="001B32D6"/>
    <w:rsid w:val="001B4695"/>
    <w:rsid w:val="001B56BE"/>
    <w:rsid w:val="001B5908"/>
    <w:rsid w:val="001B5B48"/>
    <w:rsid w:val="001B604F"/>
    <w:rsid w:val="001B6694"/>
    <w:rsid w:val="001B7944"/>
    <w:rsid w:val="001C2725"/>
    <w:rsid w:val="001C2E76"/>
    <w:rsid w:val="001C33EB"/>
    <w:rsid w:val="001C3A01"/>
    <w:rsid w:val="001C619F"/>
    <w:rsid w:val="001C67DA"/>
    <w:rsid w:val="001C7747"/>
    <w:rsid w:val="001C7C69"/>
    <w:rsid w:val="001C7CAC"/>
    <w:rsid w:val="001D020B"/>
    <w:rsid w:val="001D0A48"/>
    <w:rsid w:val="001D1573"/>
    <w:rsid w:val="001D2989"/>
    <w:rsid w:val="001D3BF4"/>
    <w:rsid w:val="001D51C3"/>
    <w:rsid w:val="001D5A9F"/>
    <w:rsid w:val="001D7C0D"/>
    <w:rsid w:val="001E030F"/>
    <w:rsid w:val="001E24E4"/>
    <w:rsid w:val="001E2D50"/>
    <w:rsid w:val="001E4219"/>
    <w:rsid w:val="001E63C0"/>
    <w:rsid w:val="001E6AD7"/>
    <w:rsid w:val="001E70D4"/>
    <w:rsid w:val="001F0466"/>
    <w:rsid w:val="001F0526"/>
    <w:rsid w:val="001F2647"/>
    <w:rsid w:val="001F30A5"/>
    <w:rsid w:val="001F44AB"/>
    <w:rsid w:val="001F52E3"/>
    <w:rsid w:val="001F5658"/>
    <w:rsid w:val="00200093"/>
    <w:rsid w:val="002008BE"/>
    <w:rsid w:val="00200E78"/>
    <w:rsid w:val="00201323"/>
    <w:rsid w:val="002016F5"/>
    <w:rsid w:val="00201EAA"/>
    <w:rsid w:val="002022E5"/>
    <w:rsid w:val="00203683"/>
    <w:rsid w:val="00203A4F"/>
    <w:rsid w:val="00204188"/>
    <w:rsid w:val="00205375"/>
    <w:rsid w:val="00205C0D"/>
    <w:rsid w:val="00205E1E"/>
    <w:rsid w:val="00206F7E"/>
    <w:rsid w:val="00207B3F"/>
    <w:rsid w:val="0021272E"/>
    <w:rsid w:val="00212ADC"/>
    <w:rsid w:val="0021323B"/>
    <w:rsid w:val="00213B63"/>
    <w:rsid w:val="00213F3B"/>
    <w:rsid w:val="00214069"/>
    <w:rsid w:val="002159A1"/>
    <w:rsid w:val="00216DCA"/>
    <w:rsid w:val="0021724F"/>
    <w:rsid w:val="002209F2"/>
    <w:rsid w:val="0022170E"/>
    <w:rsid w:val="00222517"/>
    <w:rsid w:val="00222AB1"/>
    <w:rsid w:val="002233DE"/>
    <w:rsid w:val="002255DC"/>
    <w:rsid w:val="00226775"/>
    <w:rsid w:val="00226E27"/>
    <w:rsid w:val="002307A0"/>
    <w:rsid w:val="00230AC6"/>
    <w:rsid w:val="00230BF4"/>
    <w:rsid w:val="0023185E"/>
    <w:rsid w:val="00232D18"/>
    <w:rsid w:val="00234771"/>
    <w:rsid w:val="00234ED1"/>
    <w:rsid w:val="002364A4"/>
    <w:rsid w:val="00236C79"/>
    <w:rsid w:val="00237849"/>
    <w:rsid w:val="00237C2F"/>
    <w:rsid w:val="00241AC5"/>
    <w:rsid w:val="002422E9"/>
    <w:rsid w:val="0024494A"/>
    <w:rsid w:val="00245CC3"/>
    <w:rsid w:val="00246836"/>
    <w:rsid w:val="00246C6F"/>
    <w:rsid w:val="00247E6C"/>
    <w:rsid w:val="00250061"/>
    <w:rsid w:val="00251A20"/>
    <w:rsid w:val="002521F2"/>
    <w:rsid w:val="002523BA"/>
    <w:rsid w:val="002531FB"/>
    <w:rsid w:val="002537E7"/>
    <w:rsid w:val="00256519"/>
    <w:rsid w:val="00256775"/>
    <w:rsid w:val="002569B4"/>
    <w:rsid w:val="00256D08"/>
    <w:rsid w:val="002602D4"/>
    <w:rsid w:val="002613A6"/>
    <w:rsid w:val="002631BD"/>
    <w:rsid w:val="00263CAB"/>
    <w:rsid w:val="00264B4D"/>
    <w:rsid w:val="00264E2B"/>
    <w:rsid w:val="00264F82"/>
    <w:rsid w:val="00266B04"/>
    <w:rsid w:val="00267971"/>
    <w:rsid w:val="00272417"/>
    <w:rsid w:val="00272C30"/>
    <w:rsid w:val="002738AB"/>
    <w:rsid w:val="00277649"/>
    <w:rsid w:val="002835EE"/>
    <w:rsid w:val="00283A26"/>
    <w:rsid w:val="00284165"/>
    <w:rsid w:val="00284454"/>
    <w:rsid w:val="0028453A"/>
    <w:rsid w:val="00284FA7"/>
    <w:rsid w:val="002854BE"/>
    <w:rsid w:val="00290BC8"/>
    <w:rsid w:val="00291B89"/>
    <w:rsid w:val="00291D65"/>
    <w:rsid w:val="00292205"/>
    <w:rsid w:val="002923E5"/>
    <w:rsid w:val="00292683"/>
    <w:rsid w:val="00295F14"/>
    <w:rsid w:val="00296066"/>
    <w:rsid w:val="00296345"/>
    <w:rsid w:val="002963DA"/>
    <w:rsid w:val="00297F85"/>
    <w:rsid w:val="002A0B8A"/>
    <w:rsid w:val="002A194B"/>
    <w:rsid w:val="002A1DD8"/>
    <w:rsid w:val="002A2344"/>
    <w:rsid w:val="002A330A"/>
    <w:rsid w:val="002A3AF0"/>
    <w:rsid w:val="002A4589"/>
    <w:rsid w:val="002A48BE"/>
    <w:rsid w:val="002A4A8B"/>
    <w:rsid w:val="002A4CD1"/>
    <w:rsid w:val="002A50A8"/>
    <w:rsid w:val="002A52BC"/>
    <w:rsid w:val="002A664D"/>
    <w:rsid w:val="002A794F"/>
    <w:rsid w:val="002A7B3F"/>
    <w:rsid w:val="002B1E57"/>
    <w:rsid w:val="002B2128"/>
    <w:rsid w:val="002B2AF1"/>
    <w:rsid w:val="002B31AA"/>
    <w:rsid w:val="002B3BAE"/>
    <w:rsid w:val="002B3C5A"/>
    <w:rsid w:val="002B4E49"/>
    <w:rsid w:val="002B517A"/>
    <w:rsid w:val="002B523F"/>
    <w:rsid w:val="002B66BF"/>
    <w:rsid w:val="002B73E0"/>
    <w:rsid w:val="002C200B"/>
    <w:rsid w:val="002C206D"/>
    <w:rsid w:val="002C2357"/>
    <w:rsid w:val="002C279B"/>
    <w:rsid w:val="002C2C9B"/>
    <w:rsid w:val="002C2D9C"/>
    <w:rsid w:val="002C491C"/>
    <w:rsid w:val="002C505D"/>
    <w:rsid w:val="002C62A1"/>
    <w:rsid w:val="002C62DB"/>
    <w:rsid w:val="002C6D15"/>
    <w:rsid w:val="002C7F66"/>
    <w:rsid w:val="002D0FAF"/>
    <w:rsid w:val="002D1001"/>
    <w:rsid w:val="002D20EB"/>
    <w:rsid w:val="002D2626"/>
    <w:rsid w:val="002D2A9B"/>
    <w:rsid w:val="002D35C6"/>
    <w:rsid w:val="002D3823"/>
    <w:rsid w:val="002D6C73"/>
    <w:rsid w:val="002D7671"/>
    <w:rsid w:val="002D7B46"/>
    <w:rsid w:val="002E0B9A"/>
    <w:rsid w:val="002E1A08"/>
    <w:rsid w:val="002E2A42"/>
    <w:rsid w:val="002E3EFC"/>
    <w:rsid w:val="002E5572"/>
    <w:rsid w:val="002E6643"/>
    <w:rsid w:val="002E6870"/>
    <w:rsid w:val="002E6A1E"/>
    <w:rsid w:val="002E6D65"/>
    <w:rsid w:val="002F2209"/>
    <w:rsid w:val="002F2B29"/>
    <w:rsid w:val="002F2E57"/>
    <w:rsid w:val="002F3AAE"/>
    <w:rsid w:val="002F4B4F"/>
    <w:rsid w:val="002F534F"/>
    <w:rsid w:val="002F5A7B"/>
    <w:rsid w:val="002F62DA"/>
    <w:rsid w:val="002F6308"/>
    <w:rsid w:val="002F773D"/>
    <w:rsid w:val="00301299"/>
    <w:rsid w:val="003013E9"/>
    <w:rsid w:val="003029E6"/>
    <w:rsid w:val="00302E79"/>
    <w:rsid w:val="00304C14"/>
    <w:rsid w:val="00305892"/>
    <w:rsid w:val="00307711"/>
    <w:rsid w:val="003078D3"/>
    <w:rsid w:val="00307D04"/>
    <w:rsid w:val="00310872"/>
    <w:rsid w:val="00310D8B"/>
    <w:rsid w:val="00311141"/>
    <w:rsid w:val="003114CD"/>
    <w:rsid w:val="0031262E"/>
    <w:rsid w:val="0031286F"/>
    <w:rsid w:val="00313BF4"/>
    <w:rsid w:val="00314043"/>
    <w:rsid w:val="00314D84"/>
    <w:rsid w:val="00315DF0"/>
    <w:rsid w:val="00315F3F"/>
    <w:rsid w:val="00316F05"/>
    <w:rsid w:val="003173C2"/>
    <w:rsid w:val="003176D9"/>
    <w:rsid w:val="003202D4"/>
    <w:rsid w:val="00320D18"/>
    <w:rsid w:val="003216A3"/>
    <w:rsid w:val="00324AEC"/>
    <w:rsid w:val="00326A05"/>
    <w:rsid w:val="00326A88"/>
    <w:rsid w:val="00327B5E"/>
    <w:rsid w:val="00327E9A"/>
    <w:rsid w:val="003314F2"/>
    <w:rsid w:val="003323C6"/>
    <w:rsid w:val="00332ABC"/>
    <w:rsid w:val="003343EA"/>
    <w:rsid w:val="00334502"/>
    <w:rsid w:val="003360C5"/>
    <w:rsid w:val="00336258"/>
    <w:rsid w:val="00336425"/>
    <w:rsid w:val="0033689E"/>
    <w:rsid w:val="00336E3A"/>
    <w:rsid w:val="0034010B"/>
    <w:rsid w:val="00340939"/>
    <w:rsid w:val="0034138A"/>
    <w:rsid w:val="00342A57"/>
    <w:rsid w:val="00344D90"/>
    <w:rsid w:val="0034631C"/>
    <w:rsid w:val="0034738E"/>
    <w:rsid w:val="00350E4D"/>
    <w:rsid w:val="003512C4"/>
    <w:rsid w:val="003524F9"/>
    <w:rsid w:val="0035278B"/>
    <w:rsid w:val="00352EE9"/>
    <w:rsid w:val="003539A8"/>
    <w:rsid w:val="00353D2B"/>
    <w:rsid w:val="00354759"/>
    <w:rsid w:val="0035489A"/>
    <w:rsid w:val="0035623B"/>
    <w:rsid w:val="00356772"/>
    <w:rsid w:val="0035700B"/>
    <w:rsid w:val="00360057"/>
    <w:rsid w:val="0036044C"/>
    <w:rsid w:val="00361DA0"/>
    <w:rsid w:val="003633A5"/>
    <w:rsid w:val="003639B0"/>
    <w:rsid w:val="00364204"/>
    <w:rsid w:val="00364C29"/>
    <w:rsid w:val="00364F4A"/>
    <w:rsid w:val="003657F0"/>
    <w:rsid w:val="003663BD"/>
    <w:rsid w:val="00366782"/>
    <w:rsid w:val="00366AF5"/>
    <w:rsid w:val="00366E0B"/>
    <w:rsid w:val="0036730B"/>
    <w:rsid w:val="0037119C"/>
    <w:rsid w:val="003722F7"/>
    <w:rsid w:val="003735B1"/>
    <w:rsid w:val="00374F86"/>
    <w:rsid w:val="00375E45"/>
    <w:rsid w:val="00376160"/>
    <w:rsid w:val="00376A3E"/>
    <w:rsid w:val="00377803"/>
    <w:rsid w:val="003818DA"/>
    <w:rsid w:val="00381F51"/>
    <w:rsid w:val="00382987"/>
    <w:rsid w:val="00384298"/>
    <w:rsid w:val="00384547"/>
    <w:rsid w:val="003854A3"/>
    <w:rsid w:val="00385B0E"/>
    <w:rsid w:val="00386AE1"/>
    <w:rsid w:val="00387B07"/>
    <w:rsid w:val="00387F73"/>
    <w:rsid w:val="003908B6"/>
    <w:rsid w:val="00390C90"/>
    <w:rsid w:val="00390E05"/>
    <w:rsid w:val="003912ED"/>
    <w:rsid w:val="00391DD6"/>
    <w:rsid w:val="00393665"/>
    <w:rsid w:val="00393CE6"/>
    <w:rsid w:val="003965F5"/>
    <w:rsid w:val="00396EB8"/>
    <w:rsid w:val="00397369"/>
    <w:rsid w:val="0039749D"/>
    <w:rsid w:val="00397B4E"/>
    <w:rsid w:val="00397D1B"/>
    <w:rsid w:val="003A032B"/>
    <w:rsid w:val="003A179A"/>
    <w:rsid w:val="003A2C6B"/>
    <w:rsid w:val="003A3165"/>
    <w:rsid w:val="003A470E"/>
    <w:rsid w:val="003A64E0"/>
    <w:rsid w:val="003A7202"/>
    <w:rsid w:val="003A765F"/>
    <w:rsid w:val="003A7F3D"/>
    <w:rsid w:val="003B0123"/>
    <w:rsid w:val="003B10CB"/>
    <w:rsid w:val="003B14FA"/>
    <w:rsid w:val="003B184B"/>
    <w:rsid w:val="003B5023"/>
    <w:rsid w:val="003B5CE5"/>
    <w:rsid w:val="003B6825"/>
    <w:rsid w:val="003B69BA"/>
    <w:rsid w:val="003B6FAE"/>
    <w:rsid w:val="003B7820"/>
    <w:rsid w:val="003C09D2"/>
    <w:rsid w:val="003C1171"/>
    <w:rsid w:val="003C152C"/>
    <w:rsid w:val="003C23A8"/>
    <w:rsid w:val="003C38C0"/>
    <w:rsid w:val="003C492F"/>
    <w:rsid w:val="003C78E0"/>
    <w:rsid w:val="003D0AE5"/>
    <w:rsid w:val="003D0C79"/>
    <w:rsid w:val="003D1B40"/>
    <w:rsid w:val="003D2369"/>
    <w:rsid w:val="003D3463"/>
    <w:rsid w:val="003D3DF5"/>
    <w:rsid w:val="003D46CE"/>
    <w:rsid w:val="003D4E60"/>
    <w:rsid w:val="003D4F1B"/>
    <w:rsid w:val="003D5DBC"/>
    <w:rsid w:val="003E2042"/>
    <w:rsid w:val="003E2895"/>
    <w:rsid w:val="003E348C"/>
    <w:rsid w:val="003E3E45"/>
    <w:rsid w:val="003E3F6D"/>
    <w:rsid w:val="003E4E0E"/>
    <w:rsid w:val="003E5BE8"/>
    <w:rsid w:val="003E60D0"/>
    <w:rsid w:val="003E69E2"/>
    <w:rsid w:val="003F08A1"/>
    <w:rsid w:val="003F0B0E"/>
    <w:rsid w:val="003F0FD6"/>
    <w:rsid w:val="003F11A3"/>
    <w:rsid w:val="003F1C32"/>
    <w:rsid w:val="003F284E"/>
    <w:rsid w:val="003F3EB8"/>
    <w:rsid w:val="003F5AEA"/>
    <w:rsid w:val="003F6FB4"/>
    <w:rsid w:val="003F7930"/>
    <w:rsid w:val="004001FC"/>
    <w:rsid w:val="00400978"/>
    <w:rsid w:val="0040239E"/>
    <w:rsid w:val="00402DAB"/>
    <w:rsid w:val="0040376D"/>
    <w:rsid w:val="00405648"/>
    <w:rsid w:val="00407119"/>
    <w:rsid w:val="0040793D"/>
    <w:rsid w:val="00407DF0"/>
    <w:rsid w:val="00407E14"/>
    <w:rsid w:val="00410E3C"/>
    <w:rsid w:val="00410E9D"/>
    <w:rsid w:val="00411934"/>
    <w:rsid w:val="00412FDB"/>
    <w:rsid w:val="00413D28"/>
    <w:rsid w:val="00414715"/>
    <w:rsid w:val="00415C76"/>
    <w:rsid w:val="0041613B"/>
    <w:rsid w:val="004171BC"/>
    <w:rsid w:val="00417F1B"/>
    <w:rsid w:val="00420EC5"/>
    <w:rsid w:val="00420FF4"/>
    <w:rsid w:val="004216D7"/>
    <w:rsid w:val="0042184D"/>
    <w:rsid w:val="00421E2A"/>
    <w:rsid w:val="00422FDF"/>
    <w:rsid w:val="004231FF"/>
    <w:rsid w:val="00423CF8"/>
    <w:rsid w:val="00426C0C"/>
    <w:rsid w:val="00426C1D"/>
    <w:rsid w:val="00426CD5"/>
    <w:rsid w:val="004274B1"/>
    <w:rsid w:val="0042799C"/>
    <w:rsid w:val="00427E26"/>
    <w:rsid w:val="00430D65"/>
    <w:rsid w:val="004311B4"/>
    <w:rsid w:val="004319E6"/>
    <w:rsid w:val="00432D4B"/>
    <w:rsid w:val="00433BB8"/>
    <w:rsid w:val="0043586E"/>
    <w:rsid w:val="00435939"/>
    <w:rsid w:val="0043615D"/>
    <w:rsid w:val="00437DBC"/>
    <w:rsid w:val="0044022C"/>
    <w:rsid w:val="00442096"/>
    <w:rsid w:val="004433E2"/>
    <w:rsid w:val="00443677"/>
    <w:rsid w:val="00443EAC"/>
    <w:rsid w:val="00444B16"/>
    <w:rsid w:val="00444FF3"/>
    <w:rsid w:val="00445169"/>
    <w:rsid w:val="00446167"/>
    <w:rsid w:val="00446DA6"/>
    <w:rsid w:val="004475ED"/>
    <w:rsid w:val="00450F64"/>
    <w:rsid w:val="00451AE4"/>
    <w:rsid w:val="00452E1A"/>
    <w:rsid w:val="00453961"/>
    <w:rsid w:val="00454EDE"/>
    <w:rsid w:val="00455CEF"/>
    <w:rsid w:val="00457451"/>
    <w:rsid w:val="004602FF"/>
    <w:rsid w:val="00460548"/>
    <w:rsid w:val="00460EC8"/>
    <w:rsid w:val="0046228E"/>
    <w:rsid w:val="00463AB4"/>
    <w:rsid w:val="0046451D"/>
    <w:rsid w:val="004653FB"/>
    <w:rsid w:val="00465B70"/>
    <w:rsid w:val="00466B40"/>
    <w:rsid w:val="00467684"/>
    <w:rsid w:val="004707DD"/>
    <w:rsid w:val="004715FD"/>
    <w:rsid w:val="00471E61"/>
    <w:rsid w:val="004721DE"/>
    <w:rsid w:val="00472D85"/>
    <w:rsid w:val="00473496"/>
    <w:rsid w:val="00475A77"/>
    <w:rsid w:val="00476452"/>
    <w:rsid w:val="0047677F"/>
    <w:rsid w:val="00476F88"/>
    <w:rsid w:val="004771CE"/>
    <w:rsid w:val="00481DF5"/>
    <w:rsid w:val="00483417"/>
    <w:rsid w:val="0048562C"/>
    <w:rsid w:val="004860A8"/>
    <w:rsid w:val="00486C83"/>
    <w:rsid w:val="00486D36"/>
    <w:rsid w:val="00487F20"/>
    <w:rsid w:val="004900FA"/>
    <w:rsid w:val="00490E0D"/>
    <w:rsid w:val="00494D25"/>
    <w:rsid w:val="0049524B"/>
    <w:rsid w:val="00495525"/>
    <w:rsid w:val="00495C64"/>
    <w:rsid w:val="00496352"/>
    <w:rsid w:val="00496E48"/>
    <w:rsid w:val="00497157"/>
    <w:rsid w:val="004A091C"/>
    <w:rsid w:val="004A0CEE"/>
    <w:rsid w:val="004A1DB3"/>
    <w:rsid w:val="004A1E81"/>
    <w:rsid w:val="004A4A90"/>
    <w:rsid w:val="004A4FAF"/>
    <w:rsid w:val="004A787D"/>
    <w:rsid w:val="004B0196"/>
    <w:rsid w:val="004B0597"/>
    <w:rsid w:val="004B0C1E"/>
    <w:rsid w:val="004B4AB1"/>
    <w:rsid w:val="004B501F"/>
    <w:rsid w:val="004B52DD"/>
    <w:rsid w:val="004B5D34"/>
    <w:rsid w:val="004B616F"/>
    <w:rsid w:val="004B6223"/>
    <w:rsid w:val="004B725B"/>
    <w:rsid w:val="004C1B9D"/>
    <w:rsid w:val="004C1FAD"/>
    <w:rsid w:val="004C22A7"/>
    <w:rsid w:val="004C298F"/>
    <w:rsid w:val="004C3D60"/>
    <w:rsid w:val="004C3E61"/>
    <w:rsid w:val="004C4370"/>
    <w:rsid w:val="004C53BE"/>
    <w:rsid w:val="004C6416"/>
    <w:rsid w:val="004C73C0"/>
    <w:rsid w:val="004C7D79"/>
    <w:rsid w:val="004D0CD2"/>
    <w:rsid w:val="004D0FCC"/>
    <w:rsid w:val="004D14FD"/>
    <w:rsid w:val="004D15F5"/>
    <w:rsid w:val="004D3828"/>
    <w:rsid w:val="004D3D3A"/>
    <w:rsid w:val="004D3FCD"/>
    <w:rsid w:val="004D4AC7"/>
    <w:rsid w:val="004E0822"/>
    <w:rsid w:val="004E0C5B"/>
    <w:rsid w:val="004E2895"/>
    <w:rsid w:val="004E3AD6"/>
    <w:rsid w:val="004E3D05"/>
    <w:rsid w:val="004E4549"/>
    <w:rsid w:val="004E5A25"/>
    <w:rsid w:val="004E5CB6"/>
    <w:rsid w:val="004E649A"/>
    <w:rsid w:val="004E7D64"/>
    <w:rsid w:val="004F0199"/>
    <w:rsid w:val="004F0509"/>
    <w:rsid w:val="004F1EA9"/>
    <w:rsid w:val="004F201C"/>
    <w:rsid w:val="004F25A0"/>
    <w:rsid w:val="004F3B3B"/>
    <w:rsid w:val="004F3C96"/>
    <w:rsid w:val="004F3FA9"/>
    <w:rsid w:val="004F4D52"/>
    <w:rsid w:val="004F7032"/>
    <w:rsid w:val="004F7147"/>
    <w:rsid w:val="004F74DE"/>
    <w:rsid w:val="004F76F9"/>
    <w:rsid w:val="00500313"/>
    <w:rsid w:val="00501454"/>
    <w:rsid w:val="0050208B"/>
    <w:rsid w:val="00503A6E"/>
    <w:rsid w:val="00504EEC"/>
    <w:rsid w:val="005050D7"/>
    <w:rsid w:val="00505CFC"/>
    <w:rsid w:val="00507AA1"/>
    <w:rsid w:val="0051033C"/>
    <w:rsid w:val="00510B6A"/>
    <w:rsid w:val="00511BB6"/>
    <w:rsid w:val="00514866"/>
    <w:rsid w:val="005157FC"/>
    <w:rsid w:val="00516DC5"/>
    <w:rsid w:val="0051700D"/>
    <w:rsid w:val="005172D3"/>
    <w:rsid w:val="005176DE"/>
    <w:rsid w:val="005204AD"/>
    <w:rsid w:val="00520578"/>
    <w:rsid w:val="00523C72"/>
    <w:rsid w:val="00524325"/>
    <w:rsid w:val="0052457C"/>
    <w:rsid w:val="00525763"/>
    <w:rsid w:val="00526C99"/>
    <w:rsid w:val="00530145"/>
    <w:rsid w:val="00532E73"/>
    <w:rsid w:val="00534543"/>
    <w:rsid w:val="00535295"/>
    <w:rsid w:val="00536536"/>
    <w:rsid w:val="00540517"/>
    <w:rsid w:val="00541833"/>
    <w:rsid w:val="005421E7"/>
    <w:rsid w:val="00544765"/>
    <w:rsid w:val="005452DD"/>
    <w:rsid w:val="00546720"/>
    <w:rsid w:val="005477AF"/>
    <w:rsid w:val="005477EA"/>
    <w:rsid w:val="00551482"/>
    <w:rsid w:val="005514DF"/>
    <w:rsid w:val="00551D46"/>
    <w:rsid w:val="00551EDB"/>
    <w:rsid w:val="00553651"/>
    <w:rsid w:val="0055399D"/>
    <w:rsid w:val="00554374"/>
    <w:rsid w:val="00555450"/>
    <w:rsid w:val="00555FE9"/>
    <w:rsid w:val="00557CC2"/>
    <w:rsid w:val="00560DCE"/>
    <w:rsid w:val="005614FD"/>
    <w:rsid w:val="005622E1"/>
    <w:rsid w:val="005623A1"/>
    <w:rsid w:val="00564A13"/>
    <w:rsid w:val="00566C5A"/>
    <w:rsid w:val="0056775E"/>
    <w:rsid w:val="00570B44"/>
    <w:rsid w:val="00571F59"/>
    <w:rsid w:val="0057218A"/>
    <w:rsid w:val="00572433"/>
    <w:rsid w:val="00572699"/>
    <w:rsid w:val="005727AA"/>
    <w:rsid w:val="005733E1"/>
    <w:rsid w:val="0057518F"/>
    <w:rsid w:val="00576615"/>
    <w:rsid w:val="00577109"/>
    <w:rsid w:val="00580083"/>
    <w:rsid w:val="00580B8F"/>
    <w:rsid w:val="00581706"/>
    <w:rsid w:val="0058170C"/>
    <w:rsid w:val="005826E4"/>
    <w:rsid w:val="00582A99"/>
    <w:rsid w:val="00582C2B"/>
    <w:rsid w:val="0058488D"/>
    <w:rsid w:val="00585330"/>
    <w:rsid w:val="005853BB"/>
    <w:rsid w:val="00585868"/>
    <w:rsid w:val="005858A1"/>
    <w:rsid w:val="00590098"/>
    <w:rsid w:val="005902C8"/>
    <w:rsid w:val="005907A5"/>
    <w:rsid w:val="00591914"/>
    <w:rsid w:val="005919F6"/>
    <w:rsid w:val="00592056"/>
    <w:rsid w:val="0059326A"/>
    <w:rsid w:val="005934B9"/>
    <w:rsid w:val="0059561F"/>
    <w:rsid w:val="00595DF5"/>
    <w:rsid w:val="0059603D"/>
    <w:rsid w:val="00596B00"/>
    <w:rsid w:val="00597027"/>
    <w:rsid w:val="005970C2"/>
    <w:rsid w:val="00597338"/>
    <w:rsid w:val="005A05F0"/>
    <w:rsid w:val="005A0D39"/>
    <w:rsid w:val="005A1115"/>
    <w:rsid w:val="005A30E8"/>
    <w:rsid w:val="005A39D9"/>
    <w:rsid w:val="005A3CF2"/>
    <w:rsid w:val="005A419D"/>
    <w:rsid w:val="005A5FBD"/>
    <w:rsid w:val="005A6331"/>
    <w:rsid w:val="005A6BCD"/>
    <w:rsid w:val="005A7F34"/>
    <w:rsid w:val="005B0F53"/>
    <w:rsid w:val="005B275E"/>
    <w:rsid w:val="005B2FDC"/>
    <w:rsid w:val="005B6975"/>
    <w:rsid w:val="005B6FB0"/>
    <w:rsid w:val="005C029C"/>
    <w:rsid w:val="005C14E3"/>
    <w:rsid w:val="005C1878"/>
    <w:rsid w:val="005C2051"/>
    <w:rsid w:val="005C2D1C"/>
    <w:rsid w:val="005C2D69"/>
    <w:rsid w:val="005C3F63"/>
    <w:rsid w:val="005C46C5"/>
    <w:rsid w:val="005C529B"/>
    <w:rsid w:val="005C53B9"/>
    <w:rsid w:val="005C7516"/>
    <w:rsid w:val="005C77F8"/>
    <w:rsid w:val="005D0141"/>
    <w:rsid w:val="005D10C1"/>
    <w:rsid w:val="005D3F47"/>
    <w:rsid w:val="005D5BA7"/>
    <w:rsid w:val="005D6FF3"/>
    <w:rsid w:val="005D7CE4"/>
    <w:rsid w:val="005E06D3"/>
    <w:rsid w:val="005E1C5A"/>
    <w:rsid w:val="005E2A17"/>
    <w:rsid w:val="005E3781"/>
    <w:rsid w:val="005E62D6"/>
    <w:rsid w:val="005E71BE"/>
    <w:rsid w:val="005E74AF"/>
    <w:rsid w:val="005E7BC9"/>
    <w:rsid w:val="005F00FA"/>
    <w:rsid w:val="005F2314"/>
    <w:rsid w:val="005F2C45"/>
    <w:rsid w:val="005F2C6A"/>
    <w:rsid w:val="005F323D"/>
    <w:rsid w:val="005F389C"/>
    <w:rsid w:val="005F394B"/>
    <w:rsid w:val="005F3AE5"/>
    <w:rsid w:val="005F3AEE"/>
    <w:rsid w:val="005F4381"/>
    <w:rsid w:val="005F446A"/>
    <w:rsid w:val="005F6FD8"/>
    <w:rsid w:val="005F778B"/>
    <w:rsid w:val="00600873"/>
    <w:rsid w:val="00601352"/>
    <w:rsid w:val="0060159D"/>
    <w:rsid w:val="00603656"/>
    <w:rsid w:val="00603A52"/>
    <w:rsid w:val="00610F44"/>
    <w:rsid w:val="006128BB"/>
    <w:rsid w:val="00613C60"/>
    <w:rsid w:val="0061500E"/>
    <w:rsid w:val="00615314"/>
    <w:rsid w:val="0061562C"/>
    <w:rsid w:val="00616EA0"/>
    <w:rsid w:val="00617365"/>
    <w:rsid w:val="00621049"/>
    <w:rsid w:val="00625CDD"/>
    <w:rsid w:val="006266C1"/>
    <w:rsid w:val="006271DE"/>
    <w:rsid w:val="00627237"/>
    <w:rsid w:val="006278C0"/>
    <w:rsid w:val="006302D1"/>
    <w:rsid w:val="0063076D"/>
    <w:rsid w:val="00632806"/>
    <w:rsid w:val="0063310C"/>
    <w:rsid w:val="00633277"/>
    <w:rsid w:val="00633315"/>
    <w:rsid w:val="0063472E"/>
    <w:rsid w:val="006347F2"/>
    <w:rsid w:val="0063509E"/>
    <w:rsid w:val="00635C24"/>
    <w:rsid w:val="00640ADF"/>
    <w:rsid w:val="00641201"/>
    <w:rsid w:val="006430CA"/>
    <w:rsid w:val="00643F3B"/>
    <w:rsid w:val="00644BCA"/>
    <w:rsid w:val="00644DDA"/>
    <w:rsid w:val="006469E0"/>
    <w:rsid w:val="006476AB"/>
    <w:rsid w:val="00647BBA"/>
    <w:rsid w:val="0065092F"/>
    <w:rsid w:val="00650D4F"/>
    <w:rsid w:val="00651072"/>
    <w:rsid w:val="00652BD7"/>
    <w:rsid w:val="00652F86"/>
    <w:rsid w:val="0065387B"/>
    <w:rsid w:val="00653E22"/>
    <w:rsid w:val="00654155"/>
    <w:rsid w:val="00654E56"/>
    <w:rsid w:val="0065516B"/>
    <w:rsid w:val="00657B2D"/>
    <w:rsid w:val="00657BC0"/>
    <w:rsid w:val="00660577"/>
    <w:rsid w:val="00662427"/>
    <w:rsid w:val="00663860"/>
    <w:rsid w:val="00664142"/>
    <w:rsid w:val="0066780F"/>
    <w:rsid w:val="006708B7"/>
    <w:rsid w:val="00670CD0"/>
    <w:rsid w:val="006731AC"/>
    <w:rsid w:val="00675687"/>
    <w:rsid w:val="00675741"/>
    <w:rsid w:val="00675A47"/>
    <w:rsid w:val="00675DCC"/>
    <w:rsid w:val="006778E9"/>
    <w:rsid w:val="00681310"/>
    <w:rsid w:val="00681F95"/>
    <w:rsid w:val="0068236B"/>
    <w:rsid w:val="00683615"/>
    <w:rsid w:val="006836E5"/>
    <w:rsid w:val="00684675"/>
    <w:rsid w:val="006847B7"/>
    <w:rsid w:val="00684944"/>
    <w:rsid w:val="00684E62"/>
    <w:rsid w:val="006865DD"/>
    <w:rsid w:val="00686C45"/>
    <w:rsid w:val="006908BA"/>
    <w:rsid w:val="00691DAF"/>
    <w:rsid w:val="00692A37"/>
    <w:rsid w:val="00694073"/>
    <w:rsid w:val="00694E3F"/>
    <w:rsid w:val="0069590C"/>
    <w:rsid w:val="0069685E"/>
    <w:rsid w:val="00697656"/>
    <w:rsid w:val="006A0485"/>
    <w:rsid w:val="006A058B"/>
    <w:rsid w:val="006A0E42"/>
    <w:rsid w:val="006A2F89"/>
    <w:rsid w:val="006A363C"/>
    <w:rsid w:val="006A3839"/>
    <w:rsid w:val="006A3892"/>
    <w:rsid w:val="006A4BCD"/>
    <w:rsid w:val="006A5521"/>
    <w:rsid w:val="006A6268"/>
    <w:rsid w:val="006A707B"/>
    <w:rsid w:val="006B00B8"/>
    <w:rsid w:val="006B3295"/>
    <w:rsid w:val="006B362A"/>
    <w:rsid w:val="006B38A8"/>
    <w:rsid w:val="006B5891"/>
    <w:rsid w:val="006B5E36"/>
    <w:rsid w:val="006B6207"/>
    <w:rsid w:val="006B6821"/>
    <w:rsid w:val="006B76D2"/>
    <w:rsid w:val="006C0FF4"/>
    <w:rsid w:val="006C36A5"/>
    <w:rsid w:val="006C409A"/>
    <w:rsid w:val="006C532F"/>
    <w:rsid w:val="006C5411"/>
    <w:rsid w:val="006C56EF"/>
    <w:rsid w:val="006C61C3"/>
    <w:rsid w:val="006D0299"/>
    <w:rsid w:val="006D0DAB"/>
    <w:rsid w:val="006D11B9"/>
    <w:rsid w:val="006D15C0"/>
    <w:rsid w:val="006D1813"/>
    <w:rsid w:val="006D316B"/>
    <w:rsid w:val="006D3889"/>
    <w:rsid w:val="006D493C"/>
    <w:rsid w:val="006D58F6"/>
    <w:rsid w:val="006D6225"/>
    <w:rsid w:val="006D6EB2"/>
    <w:rsid w:val="006D7E15"/>
    <w:rsid w:val="006E1171"/>
    <w:rsid w:val="006E1B17"/>
    <w:rsid w:val="006E3847"/>
    <w:rsid w:val="006E412B"/>
    <w:rsid w:val="006E4DEE"/>
    <w:rsid w:val="006E5026"/>
    <w:rsid w:val="006E5298"/>
    <w:rsid w:val="006E58C8"/>
    <w:rsid w:val="006E5955"/>
    <w:rsid w:val="006E5A92"/>
    <w:rsid w:val="006E603A"/>
    <w:rsid w:val="006E7F9D"/>
    <w:rsid w:val="006F2824"/>
    <w:rsid w:val="006F2B0C"/>
    <w:rsid w:val="006F453C"/>
    <w:rsid w:val="006F4DA0"/>
    <w:rsid w:val="006F58AA"/>
    <w:rsid w:val="006F64B0"/>
    <w:rsid w:val="007002AF"/>
    <w:rsid w:val="00702D82"/>
    <w:rsid w:val="00703B33"/>
    <w:rsid w:val="00703B4E"/>
    <w:rsid w:val="0070441B"/>
    <w:rsid w:val="007046B8"/>
    <w:rsid w:val="00705723"/>
    <w:rsid w:val="00707D7E"/>
    <w:rsid w:val="00707F5B"/>
    <w:rsid w:val="007135E2"/>
    <w:rsid w:val="00714908"/>
    <w:rsid w:val="00714EC8"/>
    <w:rsid w:val="007161CA"/>
    <w:rsid w:val="00716934"/>
    <w:rsid w:val="00717263"/>
    <w:rsid w:val="00717F4A"/>
    <w:rsid w:val="007232F6"/>
    <w:rsid w:val="00724600"/>
    <w:rsid w:val="00726E88"/>
    <w:rsid w:val="0072732A"/>
    <w:rsid w:val="00730B61"/>
    <w:rsid w:val="00730BB9"/>
    <w:rsid w:val="007311C5"/>
    <w:rsid w:val="007311DA"/>
    <w:rsid w:val="00731909"/>
    <w:rsid w:val="00731C78"/>
    <w:rsid w:val="00731F95"/>
    <w:rsid w:val="007324A4"/>
    <w:rsid w:val="00732EA9"/>
    <w:rsid w:val="0073398A"/>
    <w:rsid w:val="007345DB"/>
    <w:rsid w:val="007355FC"/>
    <w:rsid w:val="00735844"/>
    <w:rsid w:val="00735DEA"/>
    <w:rsid w:val="00736036"/>
    <w:rsid w:val="0073696F"/>
    <w:rsid w:val="00736BFC"/>
    <w:rsid w:val="007374AB"/>
    <w:rsid w:val="007403D4"/>
    <w:rsid w:val="00740492"/>
    <w:rsid w:val="00740F3D"/>
    <w:rsid w:val="0074207F"/>
    <w:rsid w:val="0074348E"/>
    <w:rsid w:val="00744407"/>
    <w:rsid w:val="0074447F"/>
    <w:rsid w:val="00745922"/>
    <w:rsid w:val="007463C5"/>
    <w:rsid w:val="00746B4C"/>
    <w:rsid w:val="00746F75"/>
    <w:rsid w:val="00747164"/>
    <w:rsid w:val="007472CF"/>
    <w:rsid w:val="00747CD8"/>
    <w:rsid w:val="0075177C"/>
    <w:rsid w:val="00751F48"/>
    <w:rsid w:val="00752180"/>
    <w:rsid w:val="00752645"/>
    <w:rsid w:val="007528DC"/>
    <w:rsid w:val="00753349"/>
    <w:rsid w:val="00753B8B"/>
    <w:rsid w:val="00754B85"/>
    <w:rsid w:val="00755EDC"/>
    <w:rsid w:val="00756865"/>
    <w:rsid w:val="00757396"/>
    <w:rsid w:val="00757CE5"/>
    <w:rsid w:val="00757FA8"/>
    <w:rsid w:val="00757FF6"/>
    <w:rsid w:val="00760053"/>
    <w:rsid w:val="00761034"/>
    <w:rsid w:val="0076110C"/>
    <w:rsid w:val="00763035"/>
    <w:rsid w:val="007653F2"/>
    <w:rsid w:val="00767747"/>
    <w:rsid w:val="00767BD3"/>
    <w:rsid w:val="007701D1"/>
    <w:rsid w:val="007701D2"/>
    <w:rsid w:val="00770435"/>
    <w:rsid w:val="00770EF0"/>
    <w:rsid w:val="00770FD6"/>
    <w:rsid w:val="007722EF"/>
    <w:rsid w:val="00772EC3"/>
    <w:rsid w:val="0077425F"/>
    <w:rsid w:val="00774D4D"/>
    <w:rsid w:val="00774E16"/>
    <w:rsid w:val="0077551C"/>
    <w:rsid w:val="00775831"/>
    <w:rsid w:val="0077650D"/>
    <w:rsid w:val="00777D81"/>
    <w:rsid w:val="007804B9"/>
    <w:rsid w:val="00781672"/>
    <w:rsid w:val="00781B1A"/>
    <w:rsid w:val="0078362F"/>
    <w:rsid w:val="00784070"/>
    <w:rsid w:val="007872FC"/>
    <w:rsid w:val="007878C5"/>
    <w:rsid w:val="00790B2B"/>
    <w:rsid w:val="00790F0D"/>
    <w:rsid w:val="0079153B"/>
    <w:rsid w:val="007928A7"/>
    <w:rsid w:val="00794537"/>
    <w:rsid w:val="007956D7"/>
    <w:rsid w:val="0079575A"/>
    <w:rsid w:val="0079678B"/>
    <w:rsid w:val="007970C7"/>
    <w:rsid w:val="00797853"/>
    <w:rsid w:val="007A159F"/>
    <w:rsid w:val="007A1CF3"/>
    <w:rsid w:val="007A200F"/>
    <w:rsid w:val="007A33BD"/>
    <w:rsid w:val="007A3480"/>
    <w:rsid w:val="007A5417"/>
    <w:rsid w:val="007A5741"/>
    <w:rsid w:val="007A77AB"/>
    <w:rsid w:val="007A78EF"/>
    <w:rsid w:val="007A79A5"/>
    <w:rsid w:val="007B0A75"/>
    <w:rsid w:val="007B15E3"/>
    <w:rsid w:val="007B1A66"/>
    <w:rsid w:val="007B21CE"/>
    <w:rsid w:val="007B25CF"/>
    <w:rsid w:val="007B2DB5"/>
    <w:rsid w:val="007B32F9"/>
    <w:rsid w:val="007B5D3C"/>
    <w:rsid w:val="007B5D95"/>
    <w:rsid w:val="007B5E56"/>
    <w:rsid w:val="007B609B"/>
    <w:rsid w:val="007B6C7A"/>
    <w:rsid w:val="007C07B6"/>
    <w:rsid w:val="007C0E11"/>
    <w:rsid w:val="007C0E99"/>
    <w:rsid w:val="007C10DC"/>
    <w:rsid w:val="007C1664"/>
    <w:rsid w:val="007C16CB"/>
    <w:rsid w:val="007C1727"/>
    <w:rsid w:val="007C1DBC"/>
    <w:rsid w:val="007C36FF"/>
    <w:rsid w:val="007C3854"/>
    <w:rsid w:val="007C5032"/>
    <w:rsid w:val="007C519D"/>
    <w:rsid w:val="007C5D18"/>
    <w:rsid w:val="007C7FAE"/>
    <w:rsid w:val="007D0921"/>
    <w:rsid w:val="007D0BFD"/>
    <w:rsid w:val="007D0F99"/>
    <w:rsid w:val="007D1140"/>
    <w:rsid w:val="007D265E"/>
    <w:rsid w:val="007D38EB"/>
    <w:rsid w:val="007D3F3F"/>
    <w:rsid w:val="007D43F1"/>
    <w:rsid w:val="007D490A"/>
    <w:rsid w:val="007D6423"/>
    <w:rsid w:val="007D7AF1"/>
    <w:rsid w:val="007E048A"/>
    <w:rsid w:val="007E0A4C"/>
    <w:rsid w:val="007E0CC5"/>
    <w:rsid w:val="007E110D"/>
    <w:rsid w:val="007E4326"/>
    <w:rsid w:val="007E4490"/>
    <w:rsid w:val="007E5A35"/>
    <w:rsid w:val="007E6D03"/>
    <w:rsid w:val="007F0D8B"/>
    <w:rsid w:val="007F1D78"/>
    <w:rsid w:val="007F1E67"/>
    <w:rsid w:val="007F248F"/>
    <w:rsid w:val="007F379C"/>
    <w:rsid w:val="007F6559"/>
    <w:rsid w:val="007F7230"/>
    <w:rsid w:val="007F77CB"/>
    <w:rsid w:val="007F7F17"/>
    <w:rsid w:val="00800516"/>
    <w:rsid w:val="008008C9"/>
    <w:rsid w:val="00800ACC"/>
    <w:rsid w:val="00800C9D"/>
    <w:rsid w:val="008010D2"/>
    <w:rsid w:val="008010EC"/>
    <w:rsid w:val="00803FDB"/>
    <w:rsid w:val="008048ED"/>
    <w:rsid w:val="00805A3F"/>
    <w:rsid w:val="0081032F"/>
    <w:rsid w:val="008108C3"/>
    <w:rsid w:val="00814162"/>
    <w:rsid w:val="00814B96"/>
    <w:rsid w:val="00815066"/>
    <w:rsid w:val="008155B0"/>
    <w:rsid w:val="008158A6"/>
    <w:rsid w:val="00816850"/>
    <w:rsid w:val="00820AE8"/>
    <w:rsid w:val="00821100"/>
    <w:rsid w:val="008216FE"/>
    <w:rsid w:val="0082197F"/>
    <w:rsid w:val="00821F28"/>
    <w:rsid w:val="0082325A"/>
    <w:rsid w:val="00825076"/>
    <w:rsid w:val="00826122"/>
    <w:rsid w:val="008308E7"/>
    <w:rsid w:val="0083092D"/>
    <w:rsid w:val="00830D07"/>
    <w:rsid w:val="0083103F"/>
    <w:rsid w:val="00831CEE"/>
    <w:rsid w:val="00832D3A"/>
    <w:rsid w:val="00833837"/>
    <w:rsid w:val="00833F2C"/>
    <w:rsid w:val="008343A7"/>
    <w:rsid w:val="00835902"/>
    <w:rsid w:val="00836A8C"/>
    <w:rsid w:val="00836AD9"/>
    <w:rsid w:val="00836B68"/>
    <w:rsid w:val="00837961"/>
    <w:rsid w:val="00837A81"/>
    <w:rsid w:val="00837B72"/>
    <w:rsid w:val="00837FC8"/>
    <w:rsid w:val="00841126"/>
    <w:rsid w:val="00841275"/>
    <w:rsid w:val="008440E8"/>
    <w:rsid w:val="00845546"/>
    <w:rsid w:val="008457B2"/>
    <w:rsid w:val="00846121"/>
    <w:rsid w:val="00846370"/>
    <w:rsid w:val="008474E1"/>
    <w:rsid w:val="00847DA3"/>
    <w:rsid w:val="0085127A"/>
    <w:rsid w:val="0085164B"/>
    <w:rsid w:val="00852B61"/>
    <w:rsid w:val="008538AC"/>
    <w:rsid w:val="0085426E"/>
    <w:rsid w:val="00855D6A"/>
    <w:rsid w:val="00856264"/>
    <w:rsid w:val="008572EA"/>
    <w:rsid w:val="00857463"/>
    <w:rsid w:val="0085770D"/>
    <w:rsid w:val="00857C11"/>
    <w:rsid w:val="00857D9B"/>
    <w:rsid w:val="008604BC"/>
    <w:rsid w:val="008606FF"/>
    <w:rsid w:val="00862FE9"/>
    <w:rsid w:val="00864AC9"/>
    <w:rsid w:val="008660E8"/>
    <w:rsid w:val="0087094B"/>
    <w:rsid w:val="0087158D"/>
    <w:rsid w:val="00871BB8"/>
    <w:rsid w:val="008732DF"/>
    <w:rsid w:val="0087332C"/>
    <w:rsid w:val="00874D7E"/>
    <w:rsid w:val="00874ECA"/>
    <w:rsid w:val="00875AC5"/>
    <w:rsid w:val="00876F99"/>
    <w:rsid w:val="00877742"/>
    <w:rsid w:val="008778B1"/>
    <w:rsid w:val="0088099C"/>
    <w:rsid w:val="00880F0C"/>
    <w:rsid w:val="008811B2"/>
    <w:rsid w:val="00881441"/>
    <w:rsid w:val="0088187F"/>
    <w:rsid w:val="00881A81"/>
    <w:rsid w:val="00881E3F"/>
    <w:rsid w:val="00883A9C"/>
    <w:rsid w:val="00884BA7"/>
    <w:rsid w:val="0088707F"/>
    <w:rsid w:val="008870D1"/>
    <w:rsid w:val="00887625"/>
    <w:rsid w:val="008876F7"/>
    <w:rsid w:val="00890092"/>
    <w:rsid w:val="00890CC2"/>
    <w:rsid w:val="00891EB9"/>
    <w:rsid w:val="00891FDD"/>
    <w:rsid w:val="00892E08"/>
    <w:rsid w:val="00894473"/>
    <w:rsid w:val="00894ABE"/>
    <w:rsid w:val="00895008"/>
    <w:rsid w:val="008A0527"/>
    <w:rsid w:val="008A240B"/>
    <w:rsid w:val="008A5D80"/>
    <w:rsid w:val="008B0508"/>
    <w:rsid w:val="008B2B4A"/>
    <w:rsid w:val="008B583A"/>
    <w:rsid w:val="008C03CE"/>
    <w:rsid w:val="008C0E76"/>
    <w:rsid w:val="008C1D39"/>
    <w:rsid w:val="008C25DF"/>
    <w:rsid w:val="008C35F8"/>
    <w:rsid w:val="008C3D18"/>
    <w:rsid w:val="008C4172"/>
    <w:rsid w:val="008C4D01"/>
    <w:rsid w:val="008C503E"/>
    <w:rsid w:val="008C5D8B"/>
    <w:rsid w:val="008C6196"/>
    <w:rsid w:val="008C735A"/>
    <w:rsid w:val="008C796C"/>
    <w:rsid w:val="008D0941"/>
    <w:rsid w:val="008D0E76"/>
    <w:rsid w:val="008D2524"/>
    <w:rsid w:val="008D2E9F"/>
    <w:rsid w:val="008D479F"/>
    <w:rsid w:val="008D561F"/>
    <w:rsid w:val="008D5B2D"/>
    <w:rsid w:val="008D66D1"/>
    <w:rsid w:val="008D77E5"/>
    <w:rsid w:val="008D7BC4"/>
    <w:rsid w:val="008E23BB"/>
    <w:rsid w:val="008E2DF9"/>
    <w:rsid w:val="008E2DFE"/>
    <w:rsid w:val="008E4017"/>
    <w:rsid w:val="008E4231"/>
    <w:rsid w:val="008E484F"/>
    <w:rsid w:val="008E563B"/>
    <w:rsid w:val="008E62CB"/>
    <w:rsid w:val="008E7842"/>
    <w:rsid w:val="008F1C5E"/>
    <w:rsid w:val="008F23A1"/>
    <w:rsid w:val="008F3420"/>
    <w:rsid w:val="008F4B3C"/>
    <w:rsid w:val="008F5902"/>
    <w:rsid w:val="008F707C"/>
    <w:rsid w:val="008F742F"/>
    <w:rsid w:val="0090026C"/>
    <w:rsid w:val="00901647"/>
    <w:rsid w:val="009029EF"/>
    <w:rsid w:val="0090346C"/>
    <w:rsid w:val="00904E38"/>
    <w:rsid w:val="00905F0E"/>
    <w:rsid w:val="00906360"/>
    <w:rsid w:val="0091040A"/>
    <w:rsid w:val="00910690"/>
    <w:rsid w:val="00910A04"/>
    <w:rsid w:val="00910FA3"/>
    <w:rsid w:val="009127DF"/>
    <w:rsid w:val="0091284C"/>
    <w:rsid w:val="00913715"/>
    <w:rsid w:val="00913C3A"/>
    <w:rsid w:val="00913D89"/>
    <w:rsid w:val="00914F5C"/>
    <w:rsid w:val="00915263"/>
    <w:rsid w:val="009152B0"/>
    <w:rsid w:val="009153A7"/>
    <w:rsid w:val="00916BBD"/>
    <w:rsid w:val="00916FE2"/>
    <w:rsid w:val="00920509"/>
    <w:rsid w:val="00920E3F"/>
    <w:rsid w:val="00921887"/>
    <w:rsid w:val="00922128"/>
    <w:rsid w:val="00922897"/>
    <w:rsid w:val="009238F6"/>
    <w:rsid w:val="009240E0"/>
    <w:rsid w:val="00925C41"/>
    <w:rsid w:val="00927504"/>
    <w:rsid w:val="009279EF"/>
    <w:rsid w:val="00931FFF"/>
    <w:rsid w:val="00933402"/>
    <w:rsid w:val="00933BB0"/>
    <w:rsid w:val="00934849"/>
    <w:rsid w:val="0093493F"/>
    <w:rsid w:val="0093788C"/>
    <w:rsid w:val="00940129"/>
    <w:rsid w:val="009404E4"/>
    <w:rsid w:val="00940A1A"/>
    <w:rsid w:val="00941E12"/>
    <w:rsid w:val="009427ED"/>
    <w:rsid w:val="00942B81"/>
    <w:rsid w:val="00942F20"/>
    <w:rsid w:val="00943238"/>
    <w:rsid w:val="00945373"/>
    <w:rsid w:val="00945C6F"/>
    <w:rsid w:val="00946838"/>
    <w:rsid w:val="0094767C"/>
    <w:rsid w:val="009508F5"/>
    <w:rsid w:val="0095145F"/>
    <w:rsid w:val="00951E7E"/>
    <w:rsid w:val="00951F15"/>
    <w:rsid w:val="00952043"/>
    <w:rsid w:val="00953E62"/>
    <w:rsid w:val="00955AB1"/>
    <w:rsid w:val="00956F51"/>
    <w:rsid w:val="00957FB8"/>
    <w:rsid w:val="0096006E"/>
    <w:rsid w:val="00961057"/>
    <w:rsid w:val="009611DE"/>
    <w:rsid w:val="009627A1"/>
    <w:rsid w:val="009632D1"/>
    <w:rsid w:val="00963AD5"/>
    <w:rsid w:val="00964E21"/>
    <w:rsid w:val="00964FB9"/>
    <w:rsid w:val="009650A1"/>
    <w:rsid w:val="00965A73"/>
    <w:rsid w:val="009663D3"/>
    <w:rsid w:val="009679C6"/>
    <w:rsid w:val="009703D9"/>
    <w:rsid w:val="0097050B"/>
    <w:rsid w:val="00970B80"/>
    <w:rsid w:val="00971F86"/>
    <w:rsid w:val="00973573"/>
    <w:rsid w:val="009741BA"/>
    <w:rsid w:val="009750A4"/>
    <w:rsid w:val="0097531E"/>
    <w:rsid w:val="00975DFA"/>
    <w:rsid w:val="009761CA"/>
    <w:rsid w:val="00977D6F"/>
    <w:rsid w:val="00977D8C"/>
    <w:rsid w:val="00980B25"/>
    <w:rsid w:val="00980DAF"/>
    <w:rsid w:val="00981215"/>
    <w:rsid w:val="0098179A"/>
    <w:rsid w:val="0098191E"/>
    <w:rsid w:val="00981CA1"/>
    <w:rsid w:val="0098399E"/>
    <w:rsid w:val="009842C4"/>
    <w:rsid w:val="00984626"/>
    <w:rsid w:val="00984D57"/>
    <w:rsid w:val="00985276"/>
    <w:rsid w:val="009856C2"/>
    <w:rsid w:val="00985F5A"/>
    <w:rsid w:val="00986199"/>
    <w:rsid w:val="009917B2"/>
    <w:rsid w:val="009923AB"/>
    <w:rsid w:val="00992EE1"/>
    <w:rsid w:val="009938D9"/>
    <w:rsid w:val="009950B2"/>
    <w:rsid w:val="009951B8"/>
    <w:rsid w:val="00996890"/>
    <w:rsid w:val="00997501"/>
    <w:rsid w:val="009A01E8"/>
    <w:rsid w:val="009A0733"/>
    <w:rsid w:val="009A1A19"/>
    <w:rsid w:val="009A2839"/>
    <w:rsid w:val="009A3303"/>
    <w:rsid w:val="009A4B13"/>
    <w:rsid w:val="009A77C1"/>
    <w:rsid w:val="009A7C4F"/>
    <w:rsid w:val="009B3C86"/>
    <w:rsid w:val="009B3F07"/>
    <w:rsid w:val="009B5425"/>
    <w:rsid w:val="009B699A"/>
    <w:rsid w:val="009B6CB5"/>
    <w:rsid w:val="009C13CF"/>
    <w:rsid w:val="009C2079"/>
    <w:rsid w:val="009C223D"/>
    <w:rsid w:val="009C2AC6"/>
    <w:rsid w:val="009C2ADF"/>
    <w:rsid w:val="009C4B8A"/>
    <w:rsid w:val="009C4F8F"/>
    <w:rsid w:val="009C5B5F"/>
    <w:rsid w:val="009C5B97"/>
    <w:rsid w:val="009C61A9"/>
    <w:rsid w:val="009C70FF"/>
    <w:rsid w:val="009D0089"/>
    <w:rsid w:val="009D0F1A"/>
    <w:rsid w:val="009D0FC9"/>
    <w:rsid w:val="009D1A36"/>
    <w:rsid w:val="009D336D"/>
    <w:rsid w:val="009D6392"/>
    <w:rsid w:val="009D7A23"/>
    <w:rsid w:val="009E2CFF"/>
    <w:rsid w:val="009E3081"/>
    <w:rsid w:val="009E375B"/>
    <w:rsid w:val="009E3B71"/>
    <w:rsid w:val="009E4BE1"/>
    <w:rsid w:val="009E65BA"/>
    <w:rsid w:val="009F00F8"/>
    <w:rsid w:val="009F0CAF"/>
    <w:rsid w:val="009F36B1"/>
    <w:rsid w:val="009F471E"/>
    <w:rsid w:val="009F4784"/>
    <w:rsid w:val="009F5375"/>
    <w:rsid w:val="009F5FA2"/>
    <w:rsid w:val="009F6A35"/>
    <w:rsid w:val="00A00020"/>
    <w:rsid w:val="00A0067C"/>
    <w:rsid w:val="00A01545"/>
    <w:rsid w:val="00A016D1"/>
    <w:rsid w:val="00A0267C"/>
    <w:rsid w:val="00A035B5"/>
    <w:rsid w:val="00A03F20"/>
    <w:rsid w:val="00A05B77"/>
    <w:rsid w:val="00A077A7"/>
    <w:rsid w:val="00A10556"/>
    <w:rsid w:val="00A12528"/>
    <w:rsid w:val="00A127A1"/>
    <w:rsid w:val="00A12B78"/>
    <w:rsid w:val="00A13DC7"/>
    <w:rsid w:val="00A14504"/>
    <w:rsid w:val="00A14E2B"/>
    <w:rsid w:val="00A15523"/>
    <w:rsid w:val="00A16D80"/>
    <w:rsid w:val="00A170B3"/>
    <w:rsid w:val="00A21878"/>
    <w:rsid w:val="00A22B72"/>
    <w:rsid w:val="00A22EB0"/>
    <w:rsid w:val="00A22F2B"/>
    <w:rsid w:val="00A2333E"/>
    <w:rsid w:val="00A24144"/>
    <w:rsid w:val="00A2461D"/>
    <w:rsid w:val="00A24624"/>
    <w:rsid w:val="00A30C24"/>
    <w:rsid w:val="00A30CC9"/>
    <w:rsid w:val="00A3175D"/>
    <w:rsid w:val="00A332AF"/>
    <w:rsid w:val="00A33442"/>
    <w:rsid w:val="00A33FBB"/>
    <w:rsid w:val="00A34307"/>
    <w:rsid w:val="00A34C46"/>
    <w:rsid w:val="00A357F9"/>
    <w:rsid w:val="00A36238"/>
    <w:rsid w:val="00A3626C"/>
    <w:rsid w:val="00A40102"/>
    <w:rsid w:val="00A404B4"/>
    <w:rsid w:val="00A41CD5"/>
    <w:rsid w:val="00A4257E"/>
    <w:rsid w:val="00A42F19"/>
    <w:rsid w:val="00A4305F"/>
    <w:rsid w:val="00A430FD"/>
    <w:rsid w:val="00A43F10"/>
    <w:rsid w:val="00A448B9"/>
    <w:rsid w:val="00A4798E"/>
    <w:rsid w:val="00A50A90"/>
    <w:rsid w:val="00A50B1A"/>
    <w:rsid w:val="00A50BE1"/>
    <w:rsid w:val="00A50EA3"/>
    <w:rsid w:val="00A51A25"/>
    <w:rsid w:val="00A51BD4"/>
    <w:rsid w:val="00A51D44"/>
    <w:rsid w:val="00A52FD0"/>
    <w:rsid w:val="00A53283"/>
    <w:rsid w:val="00A5535A"/>
    <w:rsid w:val="00A554BF"/>
    <w:rsid w:val="00A56120"/>
    <w:rsid w:val="00A56C6F"/>
    <w:rsid w:val="00A56E5D"/>
    <w:rsid w:val="00A570C0"/>
    <w:rsid w:val="00A571AC"/>
    <w:rsid w:val="00A57460"/>
    <w:rsid w:val="00A57C15"/>
    <w:rsid w:val="00A57E24"/>
    <w:rsid w:val="00A610D3"/>
    <w:rsid w:val="00A612FA"/>
    <w:rsid w:val="00A61A17"/>
    <w:rsid w:val="00A61C70"/>
    <w:rsid w:val="00A61F2C"/>
    <w:rsid w:val="00A638B1"/>
    <w:rsid w:val="00A6434F"/>
    <w:rsid w:val="00A65C31"/>
    <w:rsid w:val="00A66347"/>
    <w:rsid w:val="00A67339"/>
    <w:rsid w:val="00A67794"/>
    <w:rsid w:val="00A70A31"/>
    <w:rsid w:val="00A71D95"/>
    <w:rsid w:val="00A73521"/>
    <w:rsid w:val="00A735C4"/>
    <w:rsid w:val="00A73CBA"/>
    <w:rsid w:val="00A73E68"/>
    <w:rsid w:val="00A73FE5"/>
    <w:rsid w:val="00A754C5"/>
    <w:rsid w:val="00A7558A"/>
    <w:rsid w:val="00A76918"/>
    <w:rsid w:val="00A76F68"/>
    <w:rsid w:val="00A77DD3"/>
    <w:rsid w:val="00A811F0"/>
    <w:rsid w:val="00A81477"/>
    <w:rsid w:val="00A836E1"/>
    <w:rsid w:val="00A838F5"/>
    <w:rsid w:val="00A848FB"/>
    <w:rsid w:val="00A8606B"/>
    <w:rsid w:val="00A8633A"/>
    <w:rsid w:val="00A87BF1"/>
    <w:rsid w:val="00A91C6B"/>
    <w:rsid w:val="00A91D42"/>
    <w:rsid w:val="00A9334A"/>
    <w:rsid w:val="00A93EF1"/>
    <w:rsid w:val="00A94370"/>
    <w:rsid w:val="00A94474"/>
    <w:rsid w:val="00A94D9B"/>
    <w:rsid w:val="00A9538A"/>
    <w:rsid w:val="00A9562E"/>
    <w:rsid w:val="00A95CA4"/>
    <w:rsid w:val="00A95F85"/>
    <w:rsid w:val="00A9605E"/>
    <w:rsid w:val="00A9646B"/>
    <w:rsid w:val="00AA13AF"/>
    <w:rsid w:val="00AA14C2"/>
    <w:rsid w:val="00AA1A37"/>
    <w:rsid w:val="00AA1EA4"/>
    <w:rsid w:val="00AA23D5"/>
    <w:rsid w:val="00AA3A3C"/>
    <w:rsid w:val="00AA43D5"/>
    <w:rsid w:val="00AA48FD"/>
    <w:rsid w:val="00AA5A13"/>
    <w:rsid w:val="00AA682E"/>
    <w:rsid w:val="00AB118B"/>
    <w:rsid w:val="00AB27CB"/>
    <w:rsid w:val="00AB2966"/>
    <w:rsid w:val="00AB2FB2"/>
    <w:rsid w:val="00AB360B"/>
    <w:rsid w:val="00AB4E67"/>
    <w:rsid w:val="00AB50B7"/>
    <w:rsid w:val="00AB5263"/>
    <w:rsid w:val="00AB5FB1"/>
    <w:rsid w:val="00AB6B1F"/>
    <w:rsid w:val="00AC1E9E"/>
    <w:rsid w:val="00AC269C"/>
    <w:rsid w:val="00AC2EE1"/>
    <w:rsid w:val="00AC338F"/>
    <w:rsid w:val="00AC3757"/>
    <w:rsid w:val="00AC3C6B"/>
    <w:rsid w:val="00AC5537"/>
    <w:rsid w:val="00AC624C"/>
    <w:rsid w:val="00AC739A"/>
    <w:rsid w:val="00AC7BC0"/>
    <w:rsid w:val="00AD0FA5"/>
    <w:rsid w:val="00AD20FA"/>
    <w:rsid w:val="00AD2D64"/>
    <w:rsid w:val="00AD4F3B"/>
    <w:rsid w:val="00AD55B9"/>
    <w:rsid w:val="00AD562B"/>
    <w:rsid w:val="00AE0180"/>
    <w:rsid w:val="00AE09FF"/>
    <w:rsid w:val="00AE11BA"/>
    <w:rsid w:val="00AE19BE"/>
    <w:rsid w:val="00AE2A21"/>
    <w:rsid w:val="00AE4137"/>
    <w:rsid w:val="00AE4800"/>
    <w:rsid w:val="00AE5AC9"/>
    <w:rsid w:val="00AE5F1F"/>
    <w:rsid w:val="00AE660D"/>
    <w:rsid w:val="00AE734F"/>
    <w:rsid w:val="00AF0137"/>
    <w:rsid w:val="00AF043C"/>
    <w:rsid w:val="00AF0F3E"/>
    <w:rsid w:val="00AF1779"/>
    <w:rsid w:val="00AF1B20"/>
    <w:rsid w:val="00AF2048"/>
    <w:rsid w:val="00AF2300"/>
    <w:rsid w:val="00AF402A"/>
    <w:rsid w:val="00AF4658"/>
    <w:rsid w:val="00AF47E3"/>
    <w:rsid w:val="00AF5234"/>
    <w:rsid w:val="00AF52F6"/>
    <w:rsid w:val="00AF56A2"/>
    <w:rsid w:val="00AF6FBA"/>
    <w:rsid w:val="00AF7337"/>
    <w:rsid w:val="00AF77EA"/>
    <w:rsid w:val="00B0179D"/>
    <w:rsid w:val="00B023A9"/>
    <w:rsid w:val="00B02BBC"/>
    <w:rsid w:val="00B03565"/>
    <w:rsid w:val="00B03A15"/>
    <w:rsid w:val="00B03E12"/>
    <w:rsid w:val="00B068DA"/>
    <w:rsid w:val="00B123F4"/>
    <w:rsid w:val="00B124DB"/>
    <w:rsid w:val="00B12BDC"/>
    <w:rsid w:val="00B1319D"/>
    <w:rsid w:val="00B1643B"/>
    <w:rsid w:val="00B17769"/>
    <w:rsid w:val="00B17C34"/>
    <w:rsid w:val="00B21015"/>
    <w:rsid w:val="00B225B5"/>
    <w:rsid w:val="00B24247"/>
    <w:rsid w:val="00B24756"/>
    <w:rsid w:val="00B25059"/>
    <w:rsid w:val="00B259E1"/>
    <w:rsid w:val="00B261F8"/>
    <w:rsid w:val="00B27209"/>
    <w:rsid w:val="00B3007B"/>
    <w:rsid w:val="00B307B4"/>
    <w:rsid w:val="00B31B4C"/>
    <w:rsid w:val="00B32109"/>
    <w:rsid w:val="00B323CF"/>
    <w:rsid w:val="00B32DA6"/>
    <w:rsid w:val="00B32F8B"/>
    <w:rsid w:val="00B335B6"/>
    <w:rsid w:val="00B3379F"/>
    <w:rsid w:val="00B33AE7"/>
    <w:rsid w:val="00B34EF9"/>
    <w:rsid w:val="00B35958"/>
    <w:rsid w:val="00B371DC"/>
    <w:rsid w:val="00B37660"/>
    <w:rsid w:val="00B378BF"/>
    <w:rsid w:val="00B37934"/>
    <w:rsid w:val="00B37C8A"/>
    <w:rsid w:val="00B42A24"/>
    <w:rsid w:val="00B44A5B"/>
    <w:rsid w:val="00B45CEB"/>
    <w:rsid w:val="00B45CF3"/>
    <w:rsid w:val="00B469DE"/>
    <w:rsid w:val="00B5047A"/>
    <w:rsid w:val="00B51A49"/>
    <w:rsid w:val="00B520DB"/>
    <w:rsid w:val="00B53257"/>
    <w:rsid w:val="00B53309"/>
    <w:rsid w:val="00B538DA"/>
    <w:rsid w:val="00B5411B"/>
    <w:rsid w:val="00B545CB"/>
    <w:rsid w:val="00B5498E"/>
    <w:rsid w:val="00B55E79"/>
    <w:rsid w:val="00B56BBB"/>
    <w:rsid w:val="00B576DB"/>
    <w:rsid w:val="00B60348"/>
    <w:rsid w:val="00B607E7"/>
    <w:rsid w:val="00B61F55"/>
    <w:rsid w:val="00B62CCD"/>
    <w:rsid w:val="00B62D80"/>
    <w:rsid w:val="00B63BFB"/>
    <w:rsid w:val="00B64762"/>
    <w:rsid w:val="00B648DA"/>
    <w:rsid w:val="00B65804"/>
    <w:rsid w:val="00B65944"/>
    <w:rsid w:val="00B65BF9"/>
    <w:rsid w:val="00B67337"/>
    <w:rsid w:val="00B67DD0"/>
    <w:rsid w:val="00B70AA9"/>
    <w:rsid w:val="00B70D5D"/>
    <w:rsid w:val="00B727B8"/>
    <w:rsid w:val="00B73485"/>
    <w:rsid w:val="00B739BD"/>
    <w:rsid w:val="00B73E40"/>
    <w:rsid w:val="00B74197"/>
    <w:rsid w:val="00B74416"/>
    <w:rsid w:val="00B74E2F"/>
    <w:rsid w:val="00B753A3"/>
    <w:rsid w:val="00B80E96"/>
    <w:rsid w:val="00B819DE"/>
    <w:rsid w:val="00B83723"/>
    <w:rsid w:val="00B83A41"/>
    <w:rsid w:val="00B83EB4"/>
    <w:rsid w:val="00B85AB9"/>
    <w:rsid w:val="00B94E02"/>
    <w:rsid w:val="00B9611D"/>
    <w:rsid w:val="00B9667A"/>
    <w:rsid w:val="00B96E70"/>
    <w:rsid w:val="00BA0E86"/>
    <w:rsid w:val="00BA19C9"/>
    <w:rsid w:val="00BA28C5"/>
    <w:rsid w:val="00BA33A8"/>
    <w:rsid w:val="00BA418F"/>
    <w:rsid w:val="00BA461E"/>
    <w:rsid w:val="00BA75C6"/>
    <w:rsid w:val="00BA765C"/>
    <w:rsid w:val="00BA7718"/>
    <w:rsid w:val="00BA7B47"/>
    <w:rsid w:val="00BB1036"/>
    <w:rsid w:val="00BB1452"/>
    <w:rsid w:val="00BB1560"/>
    <w:rsid w:val="00BB1DF3"/>
    <w:rsid w:val="00BB2045"/>
    <w:rsid w:val="00BB2174"/>
    <w:rsid w:val="00BB222D"/>
    <w:rsid w:val="00BB2322"/>
    <w:rsid w:val="00BB3427"/>
    <w:rsid w:val="00BB41D5"/>
    <w:rsid w:val="00BB426F"/>
    <w:rsid w:val="00BB4673"/>
    <w:rsid w:val="00BB48DC"/>
    <w:rsid w:val="00BB6F50"/>
    <w:rsid w:val="00BB79F2"/>
    <w:rsid w:val="00BB7E38"/>
    <w:rsid w:val="00BC029B"/>
    <w:rsid w:val="00BC1EC3"/>
    <w:rsid w:val="00BC408B"/>
    <w:rsid w:val="00BC44D6"/>
    <w:rsid w:val="00BC555A"/>
    <w:rsid w:val="00BC5A9C"/>
    <w:rsid w:val="00BD0854"/>
    <w:rsid w:val="00BD130A"/>
    <w:rsid w:val="00BD17EE"/>
    <w:rsid w:val="00BD305D"/>
    <w:rsid w:val="00BD3503"/>
    <w:rsid w:val="00BD4257"/>
    <w:rsid w:val="00BD489A"/>
    <w:rsid w:val="00BD4A94"/>
    <w:rsid w:val="00BD4ACC"/>
    <w:rsid w:val="00BD4B97"/>
    <w:rsid w:val="00BD5AE4"/>
    <w:rsid w:val="00BE19D9"/>
    <w:rsid w:val="00BE4C69"/>
    <w:rsid w:val="00BE73EB"/>
    <w:rsid w:val="00BF0064"/>
    <w:rsid w:val="00BF0C7A"/>
    <w:rsid w:val="00BF1B29"/>
    <w:rsid w:val="00BF2B1E"/>
    <w:rsid w:val="00BF4D48"/>
    <w:rsid w:val="00BF4D54"/>
    <w:rsid w:val="00BF6543"/>
    <w:rsid w:val="00BF73AD"/>
    <w:rsid w:val="00BF7B3F"/>
    <w:rsid w:val="00C00266"/>
    <w:rsid w:val="00C00759"/>
    <w:rsid w:val="00C00FCE"/>
    <w:rsid w:val="00C01046"/>
    <w:rsid w:val="00C04B27"/>
    <w:rsid w:val="00C05F7D"/>
    <w:rsid w:val="00C0604C"/>
    <w:rsid w:val="00C065E8"/>
    <w:rsid w:val="00C06D56"/>
    <w:rsid w:val="00C1051D"/>
    <w:rsid w:val="00C10AEA"/>
    <w:rsid w:val="00C117AC"/>
    <w:rsid w:val="00C11E5D"/>
    <w:rsid w:val="00C121E5"/>
    <w:rsid w:val="00C13F94"/>
    <w:rsid w:val="00C1438B"/>
    <w:rsid w:val="00C14B7B"/>
    <w:rsid w:val="00C16CB3"/>
    <w:rsid w:val="00C16F08"/>
    <w:rsid w:val="00C17B52"/>
    <w:rsid w:val="00C17F54"/>
    <w:rsid w:val="00C20C10"/>
    <w:rsid w:val="00C21298"/>
    <w:rsid w:val="00C21BED"/>
    <w:rsid w:val="00C22914"/>
    <w:rsid w:val="00C237FF"/>
    <w:rsid w:val="00C24E2C"/>
    <w:rsid w:val="00C25AC5"/>
    <w:rsid w:val="00C26BD2"/>
    <w:rsid w:val="00C27122"/>
    <w:rsid w:val="00C27BB1"/>
    <w:rsid w:val="00C31B25"/>
    <w:rsid w:val="00C335AB"/>
    <w:rsid w:val="00C33F40"/>
    <w:rsid w:val="00C347A8"/>
    <w:rsid w:val="00C37768"/>
    <w:rsid w:val="00C37D88"/>
    <w:rsid w:val="00C43038"/>
    <w:rsid w:val="00C44BD7"/>
    <w:rsid w:val="00C45268"/>
    <w:rsid w:val="00C46E71"/>
    <w:rsid w:val="00C50679"/>
    <w:rsid w:val="00C53E2B"/>
    <w:rsid w:val="00C549A1"/>
    <w:rsid w:val="00C54A0D"/>
    <w:rsid w:val="00C57EA3"/>
    <w:rsid w:val="00C61115"/>
    <w:rsid w:val="00C62B60"/>
    <w:rsid w:val="00C6372E"/>
    <w:rsid w:val="00C6456C"/>
    <w:rsid w:val="00C64712"/>
    <w:rsid w:val="00C649E3"/>
    <w:rsid w:val="00C64D5D"/>
    <w:rsid w:val="00C65263"/>
    <w:rsid w:val="00C65D74"/>
    <w:rsid w:val="00C66CBC"/>
    <w:rsid w:val="00C67FBE"/>
    <w:rsid w:val="00C7027C"/>
    <w:rsid w:val="00C713FB"/>
    <w:rsid w:val="00C71BD8"/>
    <w:rsid w:val="00C7202A"/>
    <w:rsid w:val="00C724BF"/>
    <w:rsid w:val="00C72655"/>
    <w:rsid w:val="00C727DD"/>
    <w:rsid w:val="00C74445"/>
    <w:rsid w:val="00C75664"/>
    <w:rsid w:val="00C75A4B"/>
    <w:rsid w:val="00C768FC"/>
    <w:rsid w:val="00C80351"/>
    <w:rsid w:val="00C809F6"/>
    <w:rsid w:val="00C81873"/>
    <w:rsid w:val="00C81FE5"/>
    <w:rsid w:val="00C83E72"/>
    <w:rsid w:val="00C84451"/>
    <w:rsid w:val="00C844EF"/>
    <w:rsid w:val="00C84B85"/>
    <w:rsid w:val="00C86660"/>
    <w:rsid w:val="00C90808"/>
    <w:rsid w:val="00C9087D"/>
    <w:rsid w:val="00C910EB"/>
    <w:rsid w:val="00C91698"/>
    <w:rsid w:val="00C919C1"/>
    <w:rsid w:val="00C9366C"/>
    <w:rsid w:val="00C9396A"/>
    <w:rsid w:val="00C94341"/>
    <w:rsid w:val="00C95C06"/>
    <w:rsid w:val="00C95E7B"/>
    <w:rsid w:val="00C9647B"/>
    <w:rsid w:val="00C96773"/>
    <w:rsid w:val="00CA1529"/>
    <w:rsid w:val="00CA23AE"/>
    <w:rsid w:val="00CA327B"/>
    <w:rsid w:val="00CA4319"/>
    <w:rsid w:val="00CA4B55"/>
    <w:rsid w:val="00CA5807"/>
    <w:rsid w:val="00CA5CA4"/>
    <w:rsid w:val="00CA61BC"/>
    <w:rsid w:val="00CA7D17"/>
    <w:rsid w:val="00CB1CC3"/>
    <w:rsid w:val="00CB1EB6"/>
    <w:rsid w:val="00CB2926"/>
    <w:rsid w:val="00CB2F30"/>
    <w:rsid w:val="00CB4EA0"/>
    <w:rsid w:val="00CB59C7"/>
    <w:rsid w:val="00CB63B2"/>
    <w:rsid w:val="00CB64AC"/>
    <w:rsid w:val="00CB7396"/>
    <w:rsid w:val="00CB79D0"/>
    <w:rsid w:val="00CC1144"/>
    <w:rsid w:val="00CC126A"/>
    <w:rsid w:val="00CC1521"/>
    <w:rsid w:val="00CC4948"/>
    <w:rsid w:val="00CC5906"/>
    <w:rsid w:val="00CC770D"/>
    <w:rsid w:val="00CC7933"/>
    <w:rsid w:val="00CC7DBE"/>
    <w:rsid w:val="00CD068B"/>
    <w:rsid w:val="00CD19E8"/>
    <w:rsid w:val="00CD33F8"/>
    <w:rsid w:val="00CD3B15"/>
    <w:rsid w:val="00CD3F9F"/>
    <w:rsid w:val="00CD580A"/>
    <w:rsid w:val="00CE0031"/>
    <w:rsid w:val="00CE1153"/>
    <w:rsid w:val="00CE220E"/>
    <w:rsid w:val="00CE2BB3"/>
    <w:rsid w:val="00CE4698"/>
    <w:rsid w:val="00CE4EE1"/>
    <w:rsid w:val="00CE4FD1"/>
    <w:rsid w:val="00CF1862"/>
    <w:rsid w:val="00CF1958"/>
    <w:rsid w:val="00CF19D0"/>
    <w:rsid w:val="00CF2892"/>
    <w:rsid w:val="00CF4D35"/>
    <w:rsid w:val="00CF548B"/>
    <w:rsid w:val="00CF69E9"/>
    <w:rsid w:val="00CF708B"/>
    <w:rsid w:val="00CF75AB"/>
    <w:rsid w:val="00D000A7"/>
    <w:rsid w:val="00D00627"/>
    <w:rsid w:val="00D02745"/>
    <w:rsid w:val="00D03498"/>
    <w:rsid w:val="00D03B7C"/>
    <w:rsid w:val="00D03EA4"/>
    <w:rsid w:val="00D05020"/>
    <w:rsid w:val="00D05911"/>
    <w:rsid w:val="00D104DC"/>
    <w:rsid w:val="00D10BF6"/>
    <w:rsid w:val="00D13DC7"/>
    <w:rsid w:val="00D13DF3"/>
    <w:rsid w:val="00D14373"/>
    <w:rsid w:val="00D1512D"/>
    <w:rsid w:val="00D15D06"/>
    <w:rsid w:val="00D16792"/>
    <w:rsid w:val="00D1712C"/>
    <w:rsid w:val="00D20332"/>
    <w:rsid w:val="00D20FD9"/>
    <w:rsid w:val="00D23579"/>
    <w:rsid w:val="00D2361A"/>
    <w:rsid w:val="00D236BD"/>
    <w:rsid w:val="00D247E6"/>
    <w:rsid w:val="00D2491A"/>
    <w:rsid w:val="00D24E97"/>
    <w:rsid w:val="00D25363"/>
    <w:rsid w:val="00D25934"/>
    <w:rsid w:val="00D270A3"/>
    <w:rsid w:val="00D3197A"/>
    <w:rsid w:val="00D329E0"/>
    <w:rsid w:val="00D33641"/>
    <w:rsid w:val="00D33841"/>
    <w:rsid w:val="00D352A4"/>
    <w:rsid w:val="00D35303"/>
    <w:rsid w:val="00D3664B"/>
    <w:rsid w:val="00D43751"/>
    <w:rsid w:val="00D43CA3"/>
    <w:rsid w:val="00D44EEB"/>
    <w:rsid w:val="00D45388"/>
    <w:rsid w:val="00D458DC"/>
    <w:rsid w:val="00D45B5B"/>
    <w:rsid w:val="00D47A90"/>
    <w:rsid w:val="00D50417"/>
    <w:rsid w:val="00D510FC"/>
    <w:rsid w:val="00D52A22"/>
    <w:rsid w:val="00D5387A"/>
    <w:rsid w:val="00D54756"/>
    <w:rsid w:val="00D5512A"/>
    <w:rsid w:val="00D56864"/>
    <w:rsid w:val="00D56AD7"/>
    <w:rsid w:val="00D57171"/>
    <w:rsid w:val="00D63806"/>
    <w:rsid w:val="00D642EB"/>
    <w:rsid w:val="00D65023"/>
    <w:rsid w:val="00D651C6"/>
    <w:rsid w:val="00D65741"/>
    <w:rsid w:val="00D65D89"/>
    <w:rsid w:val="00D66803"/>
    <w:rsid w:val="00D66CB3"/>
    <w:rsid w:val="00D6713D"/>
    <w:rsid w:val="00D7190A"/>
    <w:rsid w:val="00D72153"/>
    <w:rsid w:val="00D72952"/>
    <w:rsid w:val="00D73042"/>
    <w:rsid w:val="00D746BF"/>
    <w:rsid w:val="00D74E98"/>
    <w:rsid w:val="00D762AC"/>
    <w:rsid w:val="00D7782A"/>
    <w:rsid w:val="00D80230"/>
    <w:rsid w:val="00D805BA"/>
    <w:rsid w:val="00D81903"/>
    <w:rsid w:val="00D82866"/>
    <w:rsid w:val="00D82970"/>
    <w:rsid w:val="00D84FCD"/>
    <w:rsid w:val="00D85485"/>
    <w:rsid w:val="00D878D6"/>
    <w:rsid w:val="00D90032"/>
    <w:rsid w:val="00D902E1"/>
    <w:rsid w:val="00D93AD1"/>
    <w:rsid w:val="00D943CF"/>
    <w:rsid w:val="00D94703"/>
    <w:rsid w:val="00D94802"/>
    <w:rsid w:val="00D95814"/>
    <w:rsid w:val="00D9651D"/>
    <w:rsid w:val="00D9737B"/>
    <w:rsid w:val="00DA0461"/>
    <w:rsid w:val="00DA3108"/>
    <w:rsid w:val="00DA33A6"/>
    <w:rsid w:val="00DA46E4"/>
    <w:rsid w:val="00DA481E"/>
    <w:rsid w:val="00DA73B2"/>
    <w:rsid w:val="00DB09A2"/>
    <w:rsid w:val="00DB1E56"/>
    <w:rsid w:val="00DB258A"/>
    <w:rsid w:val="00DB3EC2"/>
    <w:rsid w:val="00DB528A"/>
    <w:rsid w:val="00DB627E"/>
    <w:rsid w:val="00DC31FD"/>
    <w:rsid w:val="00DC3373"/>
    <w:rsid w:val="00DC3B2E"/>
    <w:rsid w:val="00DC457D"/>
    <w:rsid w:val="00DC6D57"/>
    <w:rsid w:val="00DC7862"/>
    <w:rsid w:val="00DC7A32"/>
    <w:rsid w:val="00DC7C5F"/>
    <w:rsid w:val="00DD0A60"/>
    <w:rsid w:val="00DD19A0"/>
    <w:rsid w:val="00DD1A66"/>
    <w:rsid w:val="00DD22F0"/>
    <w:rsid w:val="00DD4553"/>
    <w:rsid w:val="00DD515A"/>
    <w:rsid w:val="00DD7746"/>
    <w:rsid w:val="00DE0253"/>
    <w:rsid w:val="00DE1CDC"/>
    <w:rsid w:val="00DE1D79"/>
    <w:rsid w:val="00DE32FB"/>
    <w:rsid w:val="00DE3E1E"/>
    <w:rsid w:val="00DE63CA"/>
    <w:rsid w:val="00DE64C3"/>
    <w:rsid w:val="00DE7B0D"/>
    <w:rsid w:val="00DE7F19"/>
    <w:rsid w:val="00DF1021"/>
    <w:rsid w:val="00DF10DD"/>
    <w:rsid w:val="00DF1EE0"/>
    <w:rsid w:val="00DF37F3"/>
    <w:rsid w:val="00DF408C"/>
    <w:rsid w:val="00DF43FE"/>
    <w:rsid w:val="00DF485F"/>
    <w:rsid w:val="00DF5051"/>
    <w:rsid w:val="00DF513C"/>
    <w:rsid w:val="00DF513F"/>
    <w:rsid w:val="00DF5501"/>
    <w:rsid w:val="00DF5A1E"/>
    <w:rsid w:val="00DF6750"/>
    <w:rsid w:val="00DF6C14"/>
    <w:rsid w:val="00E01CBB"/>
    <w:rsid w:val="00E0578D"/>
    <w:rsid w:val="00E05B8F"/>
    <w:rsid w:val="00E06004"/>
    <w:rsid w:val="00E0619A"/>
    <w:rsid w:val="00E06A60"/>
    <w:rsid w:val="00E10B1E"/>
    <w:rsid w:val="00E11E0A"/>
    <w:rsid w:val="00E1407A"/>
    <w:rsid w:val="00E14583"/>
    <w:rsid w:val="00E14882"/>
    <w:rsid w:val="00E14C0B"/>
    <w:rsid w:val="00E1687C"/>
    <w:rsid w:val="00E20385"/>
    <w:rsid w:val="00E2115F"/>
    <w:rsid w:val="00E2529E"/>
    <w:rsid w:val="00E257C8"/>
    <w:rsid w:val="00E27EF2"/>
    <w:rsid w:val="00E30383"/>
    <w:rsid w:val="00E3106E"/>
    <w:rsid w:val="00E3164A"/>
    <w:rsid w:val="00E35777"/>
    <w:rsid w:val="00E359B1"/>
    <w:rsid w:val="00E35E02"/>
    <w:rsid w:val="00E35FE1"/>
    <w:rsid w:val="00E37991"/>
    <w:rsid w:val="00E41D3D"/>
    <w:rsid w:val="00E42A55"/>
    <w:rsid w:val="00E42AF2"/>
    <w:rsid w:val="00E43324"/>
    <w:rsid w:val="00E44DFF"/>
    <w:rsid w:val="00E47A8C"/>
    <w:rsid w:val="00E5087E"/>
    <w:rsid w:val="00E50B7E"/>
    <w:rsid w:val="00E50C8B"/>
    <w:rsid w:val="00E53D42"/>
    <w:rsid w:val="00E54C14"/>
    <w:rsid w:val="00E55894"/>
    <w:rsid w:val="00E55A9F"/>
    <w:rsid w:val="00E55DDD"/>
    <w:rsid w:val="00E564FD"/>
    <w:rsid w:val="00E56BF2"/>
    <w:rsid w:val="00E56F0E"/>
    <w:rsid w:val="00E5705B"/>
    <w:rsid w:val="00E61124"/>
    <w:rsid w:val="00E6281B"/>
    <w:rsid w:val="00E6301D"/>
    <w:rsid w:val="00E64057"/>
    <w:rsid w:val="00E656B0"/>
    <w:rsid w:val="00E65A75"/>
    <w:rsid w:val="00E660C4"/>
    <w:rsid w:val="00E6761B"/>
    <w:rsid w:val="00E7020F"/>
    <w:rsid w:val="00E704E9"/>
    <w:rsid w:val="00E70DF9"/>
    <w:rsid w:val="00E714A8"/>
    <w:rsid w:val="00E71DAF"/>
    <w:rsid w:val="00E72CDE"/>
    <w:rsid w:val="00E72F78"/>
    <w:rsid w:val="00E75F1B"/>
    <w:rsid w:val="00E77BDD"/>
    <w:rsid w:val="00E805AB"/>
    <w:rsid w:val="00E82586"/>
    <w:rsid w:val="00E82A4B"/>
    <w:rsid w:val="00E82ECD"/>
    <w:rsid w:val="00E8377F"/>
    <w:rsid w:val="00E838DA"/>
    <w:rsid w:val="00E84BCB"/>
    <w:rsid w:val="00E84DA1"/>
    <w:rsid w:val="00E87371"/>
    <w:rsid w:val="00E87A3C"/>
    <w:rsid w:val="00E901D9"/>
    <w:rsid w:val="00E916BA"/>
    <w:rsid w:val="00E9257A"/>
    <w:rsid w:val="00E9364F"/>
    <w:rsid w:val="00E96597"/>
    <w:rsid w:val="00EA06D0"/>
    <w:rsid w:val="00EA2DCC"/>
    <w:rsid w:val="00EA53F9"/>
    <w:rsid w:val="00EA5400"/>
    <w:rsid w:val="00EA6CDF"/>
    <w:rsid w:val="00EA7495"/>
    <w:rsid w:val="00EA7E83"/>
    <w:rsid w:val="00EB060C"/>
    <w:rsid w:val="00EB1C86"/>
    <w:rsid w:val="00EB2849"/>
    <w:rsid w:val="00EB2C35"/>
    <w:rsid w:val="00EB3E21"/>
    <w:rsid w:val="00EB41B4"/>
    <w:rsid w:val="00EB4428"/>
    <w:rsid w:val="00EB4465"/>
    <w:rsid w:val="00EB4C28"/>
    <w:rsid w:val="00EB56B5"/>
    <w:rsid w:val="00EC0573"/>
    <w:rsid w:val="00EC1047"/>
    <w:rsid w:val="00EC1F7D"/>
    <w:rsid w:val="00EC219A"/>
    <w:rsid w:val="00EC54F9"/>
    <w:rsid w:val="00EC718C"/>
    <w:rsid w:val="00EC7C14"/>
    <w:rsid w:val="00EC7F68"/>
    <w:rsid w:val="00ED237F"/>
    <w:rsid w:val="00ED3470"/>
    <w:rsid w:val="00ED5C9C"/>
    <w:rsid w:val="00ED61A2"/>
    <w:rsid w:val="00ED6C99"/>
    <w:rsid w:val="00ED76D7"/>
    <w:rsid w:val="00EE1A4E"/>
    <w:rsid w:val="00EE2F1B"/>
    <w:rsid w:val="00EE40FD"/>
    <w:rsid w:val="00EE42D1"/>
    <w:rsid w:val="00EE6124"/>
    <w:rsid w:val="00EE6463"/>
    <w:rsid w:val="00EE6E72"/>
    <w:rsid w:val="00EE74EC"/>
    <w:rsid w:val="00EF2E48"/>
    <w:rsid w:val="00EF323A"/>
    <w:rsid w:val="00EF343A"/>
    <w:rsid w:val="00EF34DF"/>
    <w:rsid w:val="00EF36E1"/>
    <w:rsid w:val="00EF3B5B"/>
    <w:rsid w:val="00EF4284"/>
    <w:rsid w:val="00EF4341"/>
    <w:rsid w:val="00EF4895"/>
    <w:rsid w:val="00EF4A30"/>
    <w:rsid w:val="00EF66CD"/>
    <w:rsid w:val="00EF677D"/>
    <w:rsid w:val="00EF72D0"/>
    <w:rsid w:val="00F00974"/>
    <w:rsid w:val="00F01E46"/>
    <w:rsid w:val="00F02AA9"/>
    <w:rsid w:val="00F03478"/>
    <w:rsid w:val="00F03DC7"/>
    <w:rsid w:val="00F042D6"/>
    <w:rsid w:val="00F04463"/>
    <w:rsid w:val="00F0505A"/>
    <w:rsid w:val="00F059B5"/>
    <w:rsid w:val="00F06562"/>
    <w:rsid w:val="00F06DE6"/>
    <w:rsid w:val="00F106B5"/>
    <w:rsid w:val="00F114E9"/>
    <w:rsid w:val="00F129A1"/>
    <w:rsid w:val="00F12ABF"/>
    <w:rsid w:val="00F141BB"/>
    <w:rsid w:val="00F144EA"/>
    <w:rsid w:val="00F15B94"/>
    <w:rsid w:val="00F16E1E"/>
    <w:rsid w:val="00F20624"/>
    <w:rsid w:val="00F22C1B"/>
    <w:rsid w:val="00F24C5E"/>
    <w:rsid w:val="00F25262"/>
    <w:rsid w:val="00F25B46"/>
    <w:rsid w:val="00F261DD"/>
    <w:rsid w:val="00F2694C"/>
    <w:rsid w:val="00F3160A"/>
    <w:rsid w:val="00F323EA"/>
    <w:rsid w:val="00F3293D"/>
    <w:rsid w:val="00F33B14"/>
    <w:rsid w:val="00F345E5"/>
    <w:rsid w:val="00F35349"/>
    <w:rsid w:val="00F35C4E"/>
    <w:rsid w:val="00F35C67"/>
    <w:rsid w:val="00F35CCE"/>
    <w:rsid w:val="00F368AE"/>
    <w:rsid w:val="00F36EA5"/>
    <w:rsid w:val="00F4023D"/>
    <w:rsid w:val="00F416CA"/>
    <w:rsid w:val="00F42DC6"/>
    <w:rsid w:val="00F431A0"/>
    <w:rsid w:val="00F435D3"/>
    <w:rsid w:val="00F43ABF"/>
    <w:rsid w:val="00F43AE5"/>
    <w:rsid w:val="00F446A7"/>
    <w:rsid w:val="00F453D3"/>
    <w:rsid w:val="00F462DD"/>
    <w:rsid w:val="00F46D81"/>
    <w:rsid w:val="00F47610"/>
    <w:rsid w:val="00F5028F"/>
    <w:rsid w:val="00F50368"/>
    <w:rsid w:val="00F50792"/>
    <w:rsid w:val="00F524D4"/>
    <w:rsid w:val="00F53244"/>
    <w:rsid w:val="00F5377D"/>
    <w:rsid w:val="00F5467F"/>
    <w:rsid w:val="00F549B2"/>
    <w:rsid w:val="00F55D81"/>
    <w:rsid w:val="00F56926"/>
    <w:rsid w:val="00F56BE6"/>
    <w:rsid w:val="00F6284F"/>
    <w:rsid w:val="00F62BB4"/>
    <w:rsid w:val="00F63532"/>
    <w:rsid w:val="00F63610"/>
    <w:rsid w:val="00F64632"/>
    <w:rsid w:val="00F64742"/>
    <w:rsid w:val="00F64C66"/>
    <w:rsid w:val="00F65F4D"/>
    <w:rsid w:val="00F662C2"/>
    <w:rsid w:val="00F666A4"/>
    <w:rsid w:val="00F67EE1"/>
    <w:rsid w:val="00F70196"/>
    <w:rsid w:val="00F71143"/>
    <w:rsid w:val="00F717B0"/>
    <w:rsid w:val="00F7311B"/>
    <w:rsid w:val="00F73CE8"/>
    <w:rsid w:val="00F740DC"/>
    <w:rsid w:val="00F74324"/>
    <w:rsid w:val="00F74954"/>
    <w:rsid w:val="00F75E26"/>
    <w:rsid w:val="00F75F22"/>
    <w:rsid w:val="00F76571"/>
    <w:rsid w:val="00F76F4A"/>
    <w:rsid w:val="00F77F5E"/>
    <w:rsid w:val="00F80713"/>
    <w:rsid w:val="00F832C1"/>
    <w:rsid w:val="00F834CA"/>
    <w:rsid w:val="00F83C9B"/>
    <w:rsid w:val="00F84245"/>
    <w:rsid w:val="00F85A1F"/>
    <w:rsid w:val="00F85FFB"/>
    <w:rsid w:val="00F865A8"/>
    <w:rsid w:val="00F9196E"/>
    <w:rsid w:val="00F92FDD"/>
    <w:rsid w:val="00F93CCD"/>
    <w:rsid w:val="00F93E0D"/>
    <w:rsid w:val="00F94A80"/>
    <w:rsid w:val="00F95331"/>
    <w:rsid w:val="00F96946"/>
    <w:rsid w:val="00FA0D79"/>
    <w:rsid w:val="00FA0DEA"/>
    <w:rsid w:val="00FA2267"/>
    <w:rsid w:val="00FA2F32"/>
    <w:rsid w:val="00FA4B72"/>
    <w:rsid w:val="00FA4DE0"/>
    <w:rsid w:val="00FA4DFA"/>
    <w:rsid w:val="00FA6356"/>
    <w:rsid w:val="00FA7732"/>
    <w:rsid w:val="00FB012F"/>
    <w:rsid w:val="00FB2170"/>
    <w:rsid w:val="00FB32E9"/>
    <w:rsid w:val="00FB33F4"/>
    <w:rsid w:val="00FB4702"/>
    <w:rsid w:val="00FB520A"/>
    <w:rsid w:val="00FB6149"/>
    <w:rsid w:val="00FB7012"/>
    <w:rsid w:val="00FB7FE7"/>
    <w:rsid w:val="00FC0E09"/>
    <w:rsid w:val="00FC16D4"/>
    <w:rsid w:val="00FC1D74"/>
    <w:rsid w:val="00FC4376"/>
    <w:rsid w:val="00FC611B"/>
    <w:rsid w:val="00FC6DA4"/>
    <w:rsid w:val="00FC7408"/>
    <w:rsid w:val="00FD1712"/>
    <w:rsid w:val="00FD259F"/>
    <w:rsid w:val="00FD4831"/>
    <w:rsid w:val="00FD56FB"/>
    <w:rsid w:val="00FD60D7"/>
    <w:rsid w:val="00FD71B9"/>
    <w:rsid w:val="00FD7ACC"/>
    <w:rsid w:val="00FD7AD8"/>
    <w:rsid w:val="00FE024E"/>
    <w:rsid w:val="00FE0C2F"/>
    <w:rsid w:val="00FE0C9C"/>
    <w:rsid w:val="00FE1509"/>
    <w:rsid w:val="00FE239C"/>
    <w:rsid w:val="00FE31F2"/>
    <w:rsid w:val="00FE46EE"/>
    <w:rsid w:val="00FE6EDA"/>
    <w:rsid w:val="00FE7113"/>
    <w:rsid w:val="00FF1700"/>
    <w:rsid w:val="00FF1D96"/>
    <w:rsid w:val="00FF1F8B"/>
    <w:rsid w:val="00FF2771"/>
    <w:rsid w:val="00FF4F3C"/>
    <w:rsid w:val="00FF5D00"/>
    <w:rsid w:val="00FF5F50"/>
    <w:rsid w:val="00FF758B"/>
    <w:rsid w:val="0A0C3E67"/>
    <w:rsid w:val="0BC17CEE"/>
    <w:rsid w:val="0C20773B"/>
    <w:rsid w:val="0C9E2526"/>
    <w:rsid w:val="11C0386C"/>
    <w:rsid w:val="17052EFA"/>
    <w:rsid w:val="17B1489F"/>
    <w:rsid w:val="1A7A525F"/>
    <w:rsid w:val="24CF2EAE"/>
    <w:rsid w:val="263F08E0"/>
    <w:rsid w:val="28A34C6F"/>
    <w:rsid w:val="28B130A5"/>
    <w:rsid w:val="2988291C"/>
    <w:rsid w:val="2B6C4596"/>
    <w:rsid w:val="2BF22B37"/>
    <w:rsid w:val="2E505EF3"/>
    <w:rsid w:val="36FF4990"/>
    <w:rsid w:val="37FF1CED"/>
    <w:rsid w:val="3F9547C6"/>
    <w:rsid w:val="40EB5410"/>
    <w:rsid w:val="44EC635F"/>
    <w:rsid w:val="48106FBA"/>
    <w:rsid w:val="555203E1"/>
    <w:rsid w:val="58F92A6A"/>
    <w:rsid w:val="590162AA"/>
    <w:rsid w:val="5AF309CE"/>
    <w:rsid w:val="637E0E07"/>
    <w:rsid w:val="646A3B75"/>
    <w:rsid w:val="68B22F13"/>
    <w:rsid w:val="69F05959"/>
    <w:rsid w:val="721F0BFB"/>
    <w:rsid w:val="73A807DA"/>
    <w:rsid w:val="74D55923"/>
    <w:rsid w:val="77D94E2E"/>
    <w:rsid w:val="78AD55F0"/>
    <w:rsid w:val="7A3215F7"/>
    <w:rsid w:val="7B9B3BF7"/>
    <w:rsid w:val="7E065BD1"/>
    <w:rsid w:val="7E9D7E45"/>
    <w:rsid w:val="7ED31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qFormat/>
    <w:uiPriority w:val="99"/>
    <w:pPr>
      <w:keepNext/>
      <w:keepLines/>
      <w:spacing w:before="260" w:after="260" w:line="413" w:lineRule="auto"/>
      <w:outlineLvl w:val="2"/>
    </w:pPr>
    <w:rPr>
      <w:b/>
      <w:bCs/>
      <w:kern w:val="0"/>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0"/>
    <w:pPr>
      <w:ind w:left="1260"/>
      <w:jc w:val="left"/>
    </w:pPr>
    <w:rPr>
      <w:rFonts w:asciiTheme="minorHAnsi" w:hAnsiTheme="minorHAnsi" w:cstheme="minorHAnsi"/>
      <w:sz w:val="18"/>
      <w:szCs w:val="18"/>
    </w:rPr>
  </w:style>
  <w:style w:type="paragraph" w:styleId="6">
    <w:name w:val="annotation text"/>
    <w:basedOn w:val="1"/>
    <w:link w:val="32"/>
    <w:semiHidden/>
    <w:qFormat/>
    <w:uiPriority w:val="0"/>
    <w:pPr>
      <w:jc w:val="left"/>
    </w:pPr>
  </w:style>
  <w:style w:type="paragraph" w:styleId="7">
    <w:name w:val="Body Text"/>
    <w:basedOn w:val="1"/>
    <w:link w:val="50"/>
    <w:qFormat/>
    <w:uiPriority w:val="0"/>
    <w:pPr>
      <w:spacing w:after="120"/>
    </w:pPr>
  </w:style>
  <w:style w:type="paragraph" w:styleId="8">
    <w:name w:val="Body Text Indent"/>
    <w:basedOn w:val="1"/>
    <w:link w:val="35"/>
    <w:qFormat/>
    <w:uiPriority w:val="99"/>
    <w:pPr>
      <w:ind w:firstLine="640" w:firstLineChars="200"/>
    </w:pPr>
    <w:rPr>
      <w:kern w:val="0"/>
      <w:szCs w:val="21"/>
    </w:rPr>
  </w:style>
  <w:style w:type="paragraph" w:styleId="9">
    <w:name w:val="toc 5"/>
    <w:basedOn w:val="1"/>
    <w:next w:val="1"/>
    <w:unhideWhenUsed/>
    <w:qFormat/>
    <w:uiPriority w:val="0"/>
    <w:pPr>
      <w:ind w:left="840"/>
      <w:jc w:val="left"/>
    </w:pPr>
    <w:rPr>
      <w:rFonts w:asciiTheme="minorHAnsi" w:hAnsiTheme="minorHAnsi" w:cstheme="minorHAnsi"/>
      <w:sz w:val="18"/>
      <w:szCs w:val="18"/>
    </w:rPr>
  </w:style>
  <w:style w:type="paragraph" w:styleId="10">
    <w:name w:val="toc 3"/>
    <w:basedOn w:val="1"/>
    <w:next w:val="1"/>
    <w:qFormat/>
    <w:uiPriority w:val="39"/>
    <w:pPr>
      <w:ind w:left="420"/>
      <w:jc w:val="left"/>
    </w:pPr>
    <w:rPr>
      <w:rFonts w:asciiTheme="minorHAnsi" w:hAnsiTheme="minorHAnsi" w:cstheme="minorHAnsi"/>
      <w:i/>
      <w:iCs/>
      <w:sz w:val="20"/>
      <w:szCs w:val="20"/>
    </w:rPr>
  </w:style>
  <w:style w:type="paragraph" w:styleId="11">
    <w:name w:val="toc 8"/>
    <w:basedOn w:val="1"/>
    <w:next w:val="1"/>
    <w:unhideWhenUsed/>
    <w:qFormat/>
    <w:uiPriority w:val="0"/>
    <w:pPr>
      <w:ind w:left="1470"/>
      <w:jc w:val="left"/>
    </w:pPr>
    <w:rPr>
      <w:rFonts w:asciiTheme="minorHAnsi" w:hAnsiTheme="minorHAnsi" w:cstheme="minorHAnsi"/>
      <w:sz w:val="18"/>
      <w:szCs w:val="18"/>
    </w:rPr>
  </w:style>
  <w:style w:type="paragraph" w:styleId="12">
    <w:name w:val="Date"/>
    <w:basedOn w:val="1"/>
    <w:next w:val="1"/>
    <w:link w:val="31"/>
    <w:qFormat/>
    <w:uiPriority w:val="0"/>
    <w:pPr>
      <w:ind w:left="100" w:leftChars="2500"/>
    </w:pPr>
  </w:style>
  <w:style w:type="paragraph" w:styleId="13">
    <w:name w:val="Balloon Text"/>
    <w:basedOn w:val="1"/>
    <w:link w:val="37"/>
    <w:semiHidden/>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846"/>
      </w:tabs>
      <w:jc w:val="left"/>
    </w:pPr>
    <w:rPr>
      <w:rFonts w:asciiTheme="minorHAnsi" w:hAnsiTheme="minorHAnsi" w:cstheme="minorHAnsi"/>
      <w:b/>
      <w:bCs/>
      <w:caps/>
      <w:sz w:val="20"/>
      <w:szCs w:val="20"/>
    </w:rPr>
  </w:style>
  <w:style w:type="paragraph" w:styleId="17">
    <w:name w:val="toc 4"/>
    <w:basedOn w:val="1"/>
    <w:next w:val="1"/>
    <w:unhideWhenUsed/>
    <w:qFormat/>
    <w:uiPriority w:val="0"/>
    <w:pPr>
      <w:ind w:left="630"/>
      <w:jc w:val="left"/>
    </w:pPr>
    <w:rPr>
      <w:rFonts w:asciiTheme="minorHAnsi" w:hAnsiTheme="minorHAnsi" w:cstheme="minorHAnsi"/>
      <w:sz w:val="18"/>
      <w:szCs w:val="18"/>
    </w:rPr>
  </w:style>
  <w:style w:type="paragraph" w:styleId="18">
    <w:name w:val="toc 6"/>
    <w:basedOn w:val="1"/>
    <w:next w:val="1"/>
    <w:unhideWhenUsed/>
    <w:qFormat/>
    <w:uiPriority w:val="0"/>
    <w:pPr>
      <w:ind w:left="1050"/>
      <w:jc w:val="left"/>
    </w:pPr>
    <w:rPr>
      <w:rFonts w:asciiTheme="minorHAnsi" w:hAnsiTheme="minorHAnsi" w:cstheme="minorHAnsi"/>
      <w:sz w:val="18"/>
      <w:szCs w:val="18"/>
    </w:rPr>
  </w:style>
  <w:style w:type="paragraph" w:styleId="19">
    <w:name w:val="toc 2"/>
    <w:basedOn w:val="1"/>
    <w:next w:val="1"/>
    <w:qFormat/>
    <w:uiPriority w:val="39"/>
    <w:pPr>
      <w:tabs>
        <w:tab w:val="right" w:leader="dot" w:pos="8846"/>
      </w:tabs>
      <w:ind w:left="210"/>
      <w:jc w:val="left"/>
    </w:pPr>
    <w:rPr>
      <w:rFonts w:asciiTheme="minorHAnsi" w:hAnsiTheme="minorHAnsi" w:cstheme="minorHAnsi"/>
      <w:smallCaps/>
      <w:sz w:val="20"/>
      <w:szCs w:val="20"/>
    </w:rPr>
  </w:style>
  <w:style w:type="paragraph" w:styleId="20">
    <w:name w:val="toc 9"/>
    <w:basedOn w:val="1"/>
    <w:next w:val="1"/>
    <w:unhideWhenUsed/>
    <w:qFormat/>
    <w:uiPriority w:val="0"/>
    <w:pPr>
      <w:ind w:left="1680"/>
      <w:jc w:val="left"/>
    </w:pPr>
    <w:rPr>
      <w:rFonts w:asciiTheme="minorHAnsi" w:hAnsiTheme="minorHAnsi" w:cstheme="minorHAnsi"/>
      <w:sz w:val="18"/>
      <w:szCs w:val="18"/>
    </w:rPr>
  </w:style>
  <w:style w:type="paragraph" w:styleId="21">
    <w:name w:val="Normal (Web)"/>
    <w:basedOn w:val="1"/>
    <w:qFormat/>
    <w:uiPriority w:val="99"/>
    <w:pPr>
      <w:spacing w:before="100" w:beforeAutospacing="1" w:after="100" w:afterAutospacing="1"/>
      <w:jc w:val="left"/>
    </w:pPr>
    <w:rPr>
      <w:kern w:val="0"/>
      <w:sz w:val="24"/>
    </w:rPr>
  </w:style>
  <w:style w:type="paragraph" w:styleId="22">
    <w:name w:val="annotation subject"/>
    <w:basedOn w:val="6"/>
    <w:next w:val="6"/>
    <w:link w:val="34"/>
    <w:semiHidden/>
    <w:qFormat/>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unhideWhenUsed/>
    <w:qFormat/>
    <w:uiPriority w:val="99"/>
    <w:rPr>
      <w:color w:val="0000FF"/>
      <w:u w:val="single"/>
    </w:rPr>
  </w:style>
  <w:style w:type="character" w:styleId="28">
    <w:name w:val="annotation reference"/>
    <w:semiHidden/>
    <w:qFormat/>
    <w:uiPriority w:val="0"/>
    <w:rPr>
      <w:sz w:val="21"/>
      <w:szCs w:val="21"/>
    </w:rPr>
  </w:style>
  <w:style w:type="character" w:customStyle="1" w:styleId="29">
    <w:name w:val="页眉 字符"/>
    <w:link w:val="15"/>
    <w:qFormat/>
    <w:uiPriority w:val="0"/>
    <w:rPr>
      <w:kern w:val="2"/>
      <w:sz w:val="18"/>
      <w:szCs w:val="18"/>
    </w:rPr>
  </w:style>
  <w:style w:type="character" w:customStyle="1" w:styleId="30">
    <w:name w:val="Footer Char"/>
    <w:qFormat/>
    <w:locked/>
    <w:uiPriority w:val="99"/>
    <w:rPr>
      <w:rFonts w:cs="Times New Roman"/>
      <w:sz w:val="18"/>
      <w:szCs w:val="18"/>
    </w:rPr>
  </w:style>
  <w:style w:type="character" w:customStyle="1" w:styleId="31">
    <w:name w:val="日期 字符"/>
    <w:link w:val="12"/>
    <w:qFormat/>
    <w:uiPriority w:val="0"/>
    <w:rPr>
      <w:kern w:val="2"/>
      <w:sz w:val="21"/>
      <w:szCs w:val="24"/>
    </w:rPr>
  </w:style>
  <w:style w:type="character" w:customStyle="1" w:styleId="32">
    <w:name w:val="批注文字 字符"/>
    <w:link w:val="6"/>
    <w:semiHidden/>
    <w:qFormat/>
    <w:uiPriority w:val="0"/>
    <w:rPr>
      <w:kern w:val="2"/>
      <w:sz w:val="21"/>
      <w:szCs w:val="24"/>
    </w:rPr>
  </w:style>
  <w:style w:type="character" w:customStyle="1" w:styleId="33">
    <w:name w:val="标题 3 字符"/>
    <w:link w:val="4"/>
    <w:qFormat/>
    <w:uiPriority w:val="99"/>
    <w:rPr>
      <w:b/>
      <w:bCs/>
      <w:sz w:val="32"/>
      <w:szCs w:val="32"/>
    </w:rPr>
  </w:style>
  <w:style w:type="character" w:customStyle="1" w:styleId="34">
    <w:name w:val="批注主题 字符"/>
    <w:link w:val="22"/>
    <w:semiHidden/>
    <w:qFormat/>
    <w:uiPriority w:val="0"/>
    <w:rPr>
      <w:b/>
      <w:bCs/>
      <w:kern w:val="2"/>
      <w:sz w:val="21"/>
      <w:szCs w:val="24"/>
    </w:rPr>
  </w:style>
  <w:style w:type="character" w:customStyle="1" w:styleId="35">
    <w:name w:val="正文文本缩进 字符"/>
    <w:link w:val="8"/>
    <w:qFormat/>
    <w:uiPriority w:val="99"/>
    <w:rPr>
      <w:sz w:val="21"/>
      <w:szCs w:val="21"/>
    </w:rPr>
  </w:style>
  <w:style w:type="character" w:customStyle="1" w:styleId="36">
    <w:name w:val="Body Text Indent Char"/>
    <w:qFormat/>
    <w:locked/>
    <w:uiPriority w:val="99"/>
    <w:rPr>
      <w:rFonts w:ascii="仿宋_GB2312" w:eastAsia="仿宋_GB2312" w:cs="仿宋_GB2312"/>
      <w:sz w:val="24"/>
      <w:szCs w:val="24"/>
    </w:rPr>
  </w:style>
  <w:style w:type="character" w:customStyle="1" w:styleId="37">
    <w:name w:val="批注框文本 字符"/>
    <w:link w:val="13"/>
    <w:semiHidden/>
    <w:qFormat/>
    <w:locked/>
    <w:uiPriority w:val="0"/>
    <w:rPr>
      <w:kern w:val="2"/>
      <w:sz w:val="18"/>
      <w:szCs w:val="18"/>
    </w:rPr>
  </w:style>
  <w:style w:type="character" w:customStyle="1" w:styleId="38">
    <w:name w:val="页脚 字符"/>
    <w:link w:val="14"/>
    <w:qFormat/>
    <w:locked/>
    <w:uiPriority w:val="99"/>
    <w:rPr>
      <w:kern w:val="2"/>
      <w:sz w:val="18"/>
      <w:szCs w:val="18"/>
    </w:rPr>
  </w:style>
  <w:style w:type="character" w:customStyle="1" w:styleId="39">
    <w:name w:val="页脚 Char1"/>
    <w:semiHidden/>
    <w:qFormat/>
    <w:uiPriority w:val="99"/>
    <w:rPr>
      <w:rFonts w:ascii="Times New Roman" w:hAnsi="Times New Roman" w:eastAsia="宋体"/>
      <w:sz w:val="18"/>
    </w:rPr>
  </w:style>
  <w:style w:type="character" w:customStyle="1" w:styleId="40">
    <w:name w:val="正文文本缩进 Char1"/>
    <w:semiHidden/>
    <w:qFormat/>
    <w:uiPriority w:val="99"/>
    <w:rPr>
      <w:rFonts w:ascii="Times New Roman" w:hAnsi="Times New Roman" w:eastAsia="宋体"/>
      <w:sz w:val="24"/>
    </w:rPr>
  </w:style>
  <w:style w:type="paragraph" w:customStyle="1" w:styleId="41">
    <w:name w:val="列出段落1"/>
    <w:basedOn w:val="1"/>
    <w:qFormat/>
    <w:uiPriority w:val="34"/>
    <w:pPr>
      <w:ind w:firstLine="420" w:firstLineChars="200"/>
    </w:pPr>
    <w:rPr>
      <w:rFonts w:ascii="Calibri" w:hAnsi="Calibri"/>
      <w:szCs w:val="22"/>
    </w:rPr>
  </w:style>
  <w:style w:type="paragraph" w:customStyle="1" w:styleId="42">
    <w:name w:val="列出段落3"/>
    <w:basedOn w:val="1"/>
    <w:qFormat/>
    <w:uiPriority w:val="99"/>
    <w:pPr>
      <w:widowControl/>
      <w:spacing w:after="200" w:line="276" w:lineRule="auto"/>
      <w:ind w:firstLine="420" w:firstLineChars="200"/>
      <w:jc w:val="left"/>
    </w:pPr>
    <w:rPr>
      <w:rFonts w:ascii="Calibri" w:hAnsi="Calibri" w:cs="Calibri"/>
      <w:kern w:val="0"/>
      <w:sz w:val="22"/>
      <w:szCs w:val="22"/>
    </w:rPr>
  </w:style>
  <w:style w:type="paragraph" w:customStyle="1" w:styleId="43">
    <w:name w:val="列出段落11"/>
    <w:basedOn w:val="1"/>
    <w:qFormat/>
    <w:uiPriority w:val="34"/>
    <w:pPr>
      <w:ind w:firstLine="420" w:firstLineChars="200"/>
    </w:pPr>
    <w:rPr>
      <w:rFonts w:ascii="Calibri" w:hAnsi="Calibri"/>
      <w:szCs w:val="22"/>
    </w:rPr>
  </w:style>
  <w:style w:type="paragraph" w:customStyle="1" w:styleId="44">
    <w:name w:val="列出段落2"/>
    <w:basedOn w:val="1"/>
    <w:qFormat/>
    <w:uiPriority w:val="99"/>
    <w:pPr>
      <w:ind w:firstLine="420" w:firstLineChars="200"/>
    </w:pPr>
    <w:rPr>
      <w:szCs w:val="21"/>
    </w:rPr>
  </w:style>
  <w:style w:type="paragraph" w:customStyle="1" w:styleId="45">
    <w:name w:val="修订1"/>
    <w:qFormat/>
    <w:uiPriority w:val="99"/>
    <w:rPr>
      <w:rFonts w:ascii="Times New Roman" w:hAnsi="Times New Roman" w:eastAsia="宋体" w:cs="Times New Roman"/>
      <w:kern w:val="2"/>
      <w:sz w:val="21"/>
      <w:szCs w:val="21"/>
      <w:lang w:val="en-US" w:eastAsia="zh-CN" w:bidi="ar-SA"/>
    </w:rPr>
  </w:style>
  <w:style w:type="paragraph" w:customStyle="1" w:styleId="46">
    <w:name w:val="列出段落4"/>
    <w:basedOn w:val="1"/>
    <w:qFormat/>
    <w:uiPriority w:val="0"/>
    <w:pPr>
      <w:ind w:firstLine="420" w:firstLineChars="200"/>
    </w:pPr>
    <w:rPr>
      <w:rFonts w:ascii="Calibri" w:hAnsi="Calibri"/>
      <w:szCs w:val="22"/>
    </w:rPr>
  </w:style>
  <w:style w:type="table" w:customStyle="1" w:styleId="47">
    <w:name w:val="网格型1"/>
    <w:basedOn w:val="23"/>
    <w:qFormat/>
    <w:uiPriority w:val="59"/>
    <w:rPr>
      <w:rFonts w:asci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
    <w:name w:val="网格型2"/>
    <w:basedOn w:val="23"/>
    <w:qFormat/>
    <w:uiPriority w:val="59"/>
    <w:rPr>
      <w:rFonts w:asci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
    <w:name w:val="网格型3"/>
    <w:basedOn w:val="23"/>
    <w:qFormat/>
    <w:uiPriority w:val="59"/>
    <w:rPr>
      <w:rFonts w:asci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0">
    <w:name w:val="正文文本 字符"/>
    <w:link w:val="7"/>
    <w:qFormat/>
    <w:uiPriority w:val="0"/>
    <w:rPr>
      <w:kern w:val="2"/>
      <w:sz w:val="21"/>
      <w:szCs w:val="24"/>
    </w:rPr>
  </w:style>
  <w:style w:type="character" w:customStyle="1" w:styleId="51">
    <w:name w:val="标题 1 字符"/>
    <w:basedOn w:val="25"/>
    <w:link w:val="2"/>
    <w:qFormat/>
    <w:uiPriority w:val="0"/>
    <w:rPr>
      <w:b/>
      <w:bCs/>
      <w:kern w:val="44"/>
      <w:sz w:val="44"/>
      <w:szCs w:val="44"/>
    </w:rPr>
  </w:style>
  <w:style w:type="paragraph" w:customStyle="1" w:styleId="5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3">
    <w:name w:val="列出段落 Char"/>
    <w:link w:val="54"/>
    <w:qFormat/>
    <w:uiPriority w:val="34"/>
    <w:rPr>
      <w:kern w:val="2"/>
      <w:sz w:val="21"/>
      <w:szCs w:val="22"/>
    </w:rPr>
  </w:style>
  <w:style w:type="paragraph" w:customStyle="1" w:styleId="54">
    <w:name w:val="列出段落5"/>
    <w:basedOn w:val="1"/>
    <w:link w:val="53"/>
    <w:qFormat/>
    <w:uiPriority w:val="99"/>
    <w:pPr>
      <w:ind w:firstLine="420" w:firstLineChars="200"/>
    </w:pPr>
    <w:rPr>
      <w:szCs w:val="22"/>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WPSOffice手动目录 1"/>
    <w:qFormat/>
    <w:uiPriority w:val="0"/>
    <w:rPr>
      <w:rFonts w:ascii="仿宋_GB2312" w:hAnsi="Calibri" w:eastAsia="等线" w:cs="Times New Roman"/>
      <w:lang w:val="en-US" w:eastAsia="zh-CN" w:bidi="ar-SA"/>
    </w:rPr>
  </w:style>
  <w:style w:type="paragraph" w:customStyle="1" w:styleId="57">
    <w:name w:val="WPSOffice手动目录 2"/>
    <w:qFormat/>
    <w:uiPriority w:val="0"/>
    <w:pPr>
      <w:ind w:left="200" w:leftChars="200"/>
    </w:pPr>
    <w:rPr>
      <w:rFonts w:ascii="仿宋_GB2312" w:hAnsi="Calibri" w:eastAsia="等线" w:cs="Times New Roman"/>
      <w:lang w:val="en-US" w:eastAsia="zh-CN" w:bidi="ar-SA"/>
    </w:rPr>
  </w:style>
  <w:style w:type="paragraph" w:customStyle="1" w:styleId="58">
    <w:name w:val="WPSOffice手动目录 3"/>
    <w:qFormat/>
    <w:uiPriority w:val="0"/>
    <w:pPr>
      <w:ind w:left="400" w:leftChars="400"/>
    </w:pPr>
    <w:rPr>
      <w:rFonts w:ascii="仿宋_GB2312" w:hAnsi="Calibri" w:eastAsia="等线" w:cs="Times New Roman"/>
      <w:lang w:val="en-US" w:eastAsia="zh-CN" w:bidi="ar-SA"/>
    </w:rPr>
  </w:style>
  <w:style w:type="paragraph" w:styleId="59">
    <w:name w:val="List Paragraph"/>
    <w:basedOn w:val="1"/>
    <w:qFormat/>
    <w:uiPriority w:val="34"/>
    <w:pPr>
      <w:ind w:firstLine="420" w:firstLineChars="200"/>
    </w:pPr>
  </w:style>
  <w:style w:type="paragraph" w:customStyle="1" w:styleId="6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63">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4">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5">
    <w:name w:val="标题 2 字符"/>
    <w:basedOn w:val="25"/>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85CF5-C89E-4C53-B7BA-E33212DDEA6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1138</Words>
  <Characters>6487</Characters>
  <Lines>54</Lines>
  <Paragraphs>15</Paragraphs>
  <TotalTime>2188</TotalTime>
  <ScaleCrop>false</ScaleCrop>
  <LinksUpToDate>false</LinksUpToDate>
  <CharactersWithSpaces>7610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2020-05-29T09:40:00Z</dcterms:created>
  <dc:creator>User</dc:creator>
  <cp:lastModifiedBy>云中漫步</cp:lastModifiedBy>
  <cp:lastPrinted>2020-06-10T09:24:00Z</cp:lastPrinted>
  <dcterms:modified xsi:type="dcterms:W3CDTF">2020-10-01T13:46:08Z</dcterms:modified>
  <dc:title>世界技能大赛集训选手选拔技术规则</dc:title>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