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附件一</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重庆城市管理职业学院</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“智慧马院”装修工程监理分散采购需求</w:t>
      </w:r>
    </w:p>
    <w:p>
      <w:pPr>
        <w:adjustRightInd w:val="0"/>
        <w:snapToGrid w:val="0"/>
        <w:spacing w:line="360" w:lineRule="auto"/>
        <w:jc w:val="left"/>
        <w:rPr>
          <w:rFonts w:ascii="宋体" w:hAnsi="Times New Roman" w:eastAsia="宋体" w:cs="Times New Roman"/>
          <w:sz w:val="36"/>
          <w:szCs w:val="36"/>
        </w:rPr>
      </w:pP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一、项目</w:t>
      </w:r>
      <w:bookmarkStart w:id="0" w:name="_GoBack"/>
      <w:bookmarkEnd w:id="0"/>
      <w:r>
        <w:rPr>
          <w:rFonts w:hint="eastAsia" w:ascii="方正黑体_GBK" w:hAnsi="Times New Roman" w:eastAsia="方正黑体_GBK" w:cs="Times New Roman"/>
          <w:sz w:val="32"/>
          <w:szCs w:val="32"/>
        </w:rPr>
        <w:t>简介</w:t>
      </w:r>
    </w:p>
    <w:p>
      <w:pPr>
        <w:spacing w:line="56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重庆城市管理职业学院位于重庆市高新区大学城南二路151号，属于国家公办高职院校。“智慧马院”装修工程已经于近期完成招标工作（约296万元）。根据规定</w:t>
      </w:r>
      <w:r>
        <w:rPr>
          <w:rFonts w:hint="eastAsia" w:ascii="方正仿宋_GBK" w:hAnsi="Times New Roman" w:eastAsia="方正仿宋_GBK" w:cs="Times New Roman"/>
          <w:sz w:val="32"/>
          <w:szCs w:val="32"/>
        </w:rPr>
        <w:t>，拟对该项工程的监理单位实施招标确定，欢迎</w:t>
      </w:r>
      <w:r>
        <w:rPr>
          <w:rFonts w:hint="eastAsia" w:ascii="方正仿宋_GBK" w:hAnsi="宋体" w:eastAsia="方正仿宋_GBK" w:cs="Times New Roman"/>
          <w:sz w:val="32"/>
          <w:szCs w:val="32"/>
        </w:rPr>
        <w:t>有实力有资质的企业积极参与我校分散采购。</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hint="eastAsia" w:ascii="方正黑体_GBK" w:hAnsi="方正黑体_GBK" w:eastAsia="方正黑体_GBK" w:cs="方正黑体_GBK"/>
          <w:sz w:val="32"/>
          <w:szCs w:val="32"/>
        </w:rPr>
        <w:t>二、“智慧马院”装修情况及监理工作要求</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1.</w:t>
      </w:r>
      <w:r>
        <w:t xml:space="preserve"> </w:t>
      </w:r>
      <w:r>
        <w:rPr>
          <w:rFonts w:ascii="方正仿宋_GBK" w:hAnsi="宋体" w:eastAsia="方正仿宋_GBK" w:cs="Times New Roman"/>
          <w:sz w:val="32"/>
          <w:szCs w:val="32"/>
        </w:rPr>
        <w:t>场地规模：装修建筑面积</w:t>
      </w:r>
      <w:r>
        <w:rPr>
          <w:rFonts w:hint="eastAsia" w:ascii="方正仿宋_GBK" w:hAnsi="宋体" w:eastAsia="方正仿宋_GBK" w:cs="Times New Roman"/>
          <w:sz w:val="32"/>
          <w:szCs w:val="32"/>
        </w:rPr>
        <w:t>约2100</w:t>
      </w:r>
      <w:r>
        <w:rPr>
          <w:rFonts w:ascii="方正仿宋_GBK" w:hAnsi="宋体" w:eastAsia="方正仿宋_GBK" w:cs="Times New Roman"/>
          <w:sz w:val="32"/>
          <w:szCs w:val="32"/>
        </w:rPr>
        <w:t>平方米。</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2.工程主要内容：</w:t>
      </w:r>
      <w:r>
        <w:rPr>
          <w:rFonts w:hint="eastAsia" w:ascii="方正仿宋_GBK" w:hAnsi="宋体" w:eastAsia="方正仿宋_GBK" w:cs="Times New Roman"/>
          <w:sz w:val="32"/>
          <w:szCs w:val="32"/>
        </w:rPr>
        <w:t>主要包括新建墙体工程、墙面墙面装饰工程、楼地面工程、天棚工程、电气工程、给排水工程、消防工程及通风工程等。</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工作要求：</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（1）监理单位必须满足2位专业监理工程师（装饰装修、安装）24小时驻场旁站；</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（2）根据国家及行业规范实施监理并完成相关监理资料（档案等）的签证交接。</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4</w:t>
      </w:r>
      <w:r>
        <w:rPr>
          <w:rFonts w:ascii="方正仿宋_GBK" w:hAnsi="Times New Roman" w:eastAsia="方正仿宋_GBK" w:cs="Times New Roman"/>
          <w:sz w:val="32"/>
          <w:szCs w:val="32"/>
        </w:rPr>
        <w:t>.付款方式。工程竣工验收后，</w:t>
      </w:r>
      <w:r>
        <w:rPr>
          <w:rFonts w:hint="eastAsia" w:ascii="方正仿宋_GBK" w:hAnsi="Times New Roman" w:eastAsia="方正仿宋_GBK" w:cs="Times New Roman"/>
          <w:sz w:val="32"/>
          <w:szCs w:val="32"/>
        </w:rPr>
        <w:t>服务商提供合同正规发票申请付款，采购人在收到相关票据后7个工作日完成费用支付（遇节假日及寒、暑假顺延）。</w:t>
      </w:r>
    </w:p>
    <w:p>
      <w:pPr>
        <w:adjustRightInd w:val="0"/>
        <w:snapToGrid w:val="0"/>
        <w:spacing w:line="560" w:lineRule="exact"/>
        <w:ind w:firstLine="640" w:firstLineChars="200"/>
        <w:jc w:val="left"/>
        <w:rPr>
          <w:rFonts w:hint="eastAsia" w:ascii="方正仿宋_GBK" w:hAnsi="Times New Roman" w:eastAsia="方正仿宋_GBK" w:cs="Times New Roman"/>
          <w:sz w:val="32"/>
          <w:szCs w:val="32"/>
        </w:rPr>
        <w:sectPr>
          <w:pgSz w:w="11906" w:h="16838"/>
          <w:pgMar w:top="1418" w:right="1588" w:bottom="1418" w:left="1588" w:header="851" w:footer="992" w:gutter="0"/>
          <w:pgNumType w:fmt="decimal"/>
          <w:cols w:space="720" w:num="1"/>
          <w:docGrid w:type="linesAndChars" w:linePitch="312" w:charSpace="0"/>
        </w:sect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请参与服务商根据“附件二”制作报价表并加盖鲜章或印</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参与分散采购的服务商须密封提供以下材料：</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lang w:val="en-US" w:eastAsia="zh-CN"/>
        </w:rPr>
        <w:t>1</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法人营业执照副本复印件盖鲜章（或未办理三证合一的营业执照、组织机构代码证、税务登记证复印件盖鲜章）。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lang w:val="en-US" w:eastAsia="zh-CN"/>
        </w:rPr>
        <w:t>2</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法定代表人身份证明书。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lang w:val="en-US" w:eastAsia="zh-CN"/>
        </w:rPr>
        <w:t>3</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法定代表人授权委托书，法人亲自参与分散采购的，则不需要授权委托书。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重庆城市管理职业学院“智慧马院”装修工程监理分散采购报价表。</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三、分散采购竞价评选标准</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在完全满足本招标公告的条件下，合理低价中标。</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四、监理时间</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施工方进场至完工撤场以前，约100天。</w:t>
      </w: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sectPr>
          <w:footerReference r:id="rId3" w:type="default"/>
          <w:pgSz w:w="11906" w:h="16838"/>
          <w:pgMar w:top="1418" w:right="1588" w:bottom="1418" w:left="1588" w:header="851" w:footer="1247" w:gutter="0"/>
          <w:pgNumType w:fmt="decimal" w:start="1"/>
          <w:cols w:space="720" w:num="1"/>
          <w:docGrid w:type="linesAndChars" w:linePitch="312" w:charSpace="0"/>
        </w:sectPr>
      </w:pPr>
    </w:p>
    <w:tbl>
      <w:tblPr>
        <w:tblStyle w:val="6"/>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776"/>
        <w:gridCol w:w="3705"/>
        <w:gridCol w:w="121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808" w:type="dxa"/>
            <w:gridSpan w:val="5"/>
            <w:vAlign w:val="center"/>
          </w:tcPr>
          <w:p>
            <w:pPr>
              <w:adjustRightInd w:val="0"/>
              <w:snapToGrid w:val="0"/>
              <w:spacing w:line="360" w:lineRule="auto"/>
              <w:jc w:val="center"/>
              <w:rPr>
                <w:rFonts w:ascii="宋体" w:hAnsi="Times New Roman" w:eastAsia="宋体" w:cs="Times New Roman"/>
                <w:b/>
                <w:bCs/>
                <w:sz w:val="28"/>
                <w:szCs w:val="28"/>
              </w:rPr>
            </w:pPr>
            <w:r>
              <w:rPr>
                <w:rFonts w:hint="eastAsia" w:ascii="方正黑体_GBK" w:hAnsi="方正黑体_GBK" w:eastAsia="方正黑体_GBK" w:cs="方正黑体_GBK"/>
                <w:b/>
                <w:bCs/>
                <w:sz w:val="32"/>
                <w:szCs w:val="32"/>
              </w:rPr>
              <w:t xml:space="preserve">附件二 </w:t>
            </w:r>
            <w:r>
              <w:rPr>
                <w:rFonts w:hint="eastAsia" w:ascii="宋体" w:hAnsi="Times New Roman" w:eastAsia="宋体" w:cs="Times New Roman"/>
                <w:b/>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14"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序号</w:t>
            </w:r>
          </w:p>
        </w:tc>
        <w:tc>
          <w:tcPr>
            <w:tcW w:w="177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项目名称</w:t>
            </w:r>
          </w:p>
        </w:tc>
        <w:tc>
          <w:tcPr>
            <w:tcW w:w="3705"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项目构成及相关费用说明</w:t>
            </w:r>
          </w:p>
        </w:tc>
        <w:tc>
          <w:tcPr>
            <w:tcW w:w="1217"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数量</w:t>
            </w:r>
          </w:p>
        </w:tc>
        <w:tc>
          <w:tcPr>
            <w:tcW w:w="129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1</w:t>
            </w:r>
          </w:p>
        </w:tc>
        <w:tc>
          <w:tcPr>
            <w:tcW w:w="177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重庆城市管理职业学院“智慧马院”装修工程</w:t>
            </w:r>
          </w:p>
        </w:tc>
        <w:tc>
          <w:tcPr>
            <w:tcW w:w="3705" w:type="dxa"/>
          </w:tcPr>
          <w:p>
            <w:pPr>
              <w:adjustRightInd w:val="0"/>
              <w:snapToGrid w:val="0"/>
              <w:spacing w:line="360" w:lineRule="auto"/>
              <w:jc w:val="left"/>
              <w:rPr>
                <w:rFonts w:ascii="宋体" w:hAnsi="Times New Roman" w:eastAsia="宋体" w:cs="Times New Roman"/>
                <w:sz w:val="28"/>
                <w:szCs w:val="28"/>
              </w:rPr>
            </w:pPr>
            <w:r>
              <w:rPr>
                <w:rFonts w:ascii="宋体" w:hAnsi="Times New Roman" w:eastAsia="宋体" w:cs="Times New Roman"/>
                <w:sz w:val="28"/>
                <w:szCs w:val="28"/>
              </w:rPr>
              <w:t>1. 场地规模：装修建筑面积约2100平方米。</w:t>
            </w:r>
          </w:p>
          <w:p>
            <w:pPr>
              <w:adjustRightInd w:val="0"/>
              <w:snapToGrid w:val="0"/>
              <w:spacing w:line="360" w:lineRule="auto"/>
              <w:jc w:val="left"/>
              <w:rPr>
                <w:rFonts w:ascii="宋体" w:hAnsi="Times New Roman" w:eastAsia="宋体" w:cs="Times New Roman"/>
                <w:sz w:val="28"/>
                <w:szCs w:val="28"/>
              </w:rPr>
            </w:pPr>
            <w:r>
              <w:rPr>
                <w:rFonts w:ascii="宋体" w:hAnsi="Times New Roman" w:eastAsia="宋体" w:cs="Times New Roman"/>
                <w:sz w:val="28"/>
                <w:szCs w:val="28"/>
              </w:rPr>
              <w:t>2.工程主要内容：主要包括新建墙体工程、墙面墙面装饰工程、楼地面工程、天棚工程、电气工程、给排水工程、消防工程及通风工程等。</w:t>
            </w:r>
            <w:r>
              <w:rPr>
                <w:rFonts w:hint="eastAsia" w:ascii="宋体" w:hAnsi="Times New Roman" w:eastAsia="宋体" w:cs="Times New Roman"/>
                <w:sz w:val="28"/>
                <w:szCs w:val="28"/>
              </w:rPr>
              <w:t>该工程施工总费用约296万元。</w:t>
            </w:r>
          </w:p>
          <w:p>
            <w:pPr>
              <w:adjustRightInd w:val="0"/>
              <w:snapToGrid w:val="0"/>
              <w:spacing w:line="360" w:lineRule="auto"/>
              <w:jc w:val="left"/>
              <w:rPr>
                <w:rFonts w:ascii="宋体" w:hAnsi="Times New Roman" w:eastAsia="宋体" w:cs="Times New Roman"/>
                <w:sz w:val="28"/>
                <w:szCs w:val="28"/>
              </w:rPr>
            </w:pPr>
            <w:r>
              <w:rPr>
                <w:rFonts w:ascii="宋体" w:hAnsi="Times New Roman" w:eastAsia="宋体" w:cs="Times New Roman"/>
                <w:sz w:val="28"/>
                <w:szCs w:val="28"/>
              </w:rPr>
              <w:t>监理包干总价：</w:t>
            </w:r>
            <w:r>
              <w:rPr>
                <w:rFonts w:hint="eastAsia" w:ascii="宋体" w:hAnsi="Times New Roman" w:eastAsia="宋体" w:cs="Times New Roman"/>
                <w:sz w:val="28"/>
                <w:szCs w:val="28"/>
              </w:rPr>
              <w:t>4.12万元</w:t>
            </w:r>
          </w:p>
        </w:tc>
        <w:tc>
          <w:tcPr>
            <w:tcW w:w="1217" w:type="dxa"/>
          </w:tcPr>
          <w:p>
            <w:pPr>
              <w:adjustRightInd w:val="0"/>
              <w:snapToGrid w:val="0"/>
              <w:spacing w:line="360" w:lineRule="auto"/>
              <w:jc w:val="left"/>
              <w:rPr>
                <w:rFonts w:ascii="宋体" w:hAnsi="Times New Roman" w:eastAsia="宋体" w:cs="Times New Roman"/>
                <w:sz w:val="28"/>
                <w:szCs w:val="28"/>
              </w:rPr>
            </w:pPr>
          </w:p>
        </w:tc>
        <w:tc>
          <w:tcPr>
            <w:tcW w:w="1296" w:type="dxa"/>
          </w:tcPr>
          <w:p>
            <w:pPr>
              <w:adjustRightInd w:val="0"/>
              <w:snapToGrid w:val="0"/>
              <w:spacing w:line="360" w:lineRule="auto"/>
              <w:jc w:val="left"/>
              <w:rPr>
                <w:rFonts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p>
        </w:tc>
        <w:tc>
          <w:tcPr>
            <w:tcW w:w="1776" w:type="dxa"/>
          </w:tcPr>
          <w:p>
            <w:pPr>
              <w:adjustRightInd w:val="0"/>
              <w:snapToGrid w:val="0"/>
              <w:spacing w:line="360" w:lineRule="auto"/>
              <w:jc w:val="left"/>
              <w:rPr>
                <w:rFonts w:ascii="宋体" w:hAnsi="Times New Roman" w:eastAsia="宋体" w:cs="Times New Roman"/>
                <w:sz w:val="28"/>
                <w:szCs w:val="28"/>
              </w:rPr>
            </w:pPr>
          </w:p>
        </w:tc>
        <w:tc>
          <w:tcPr>
            <w:tcW w:w="3705" w:type="dxa"/>
          </w:tcPr>
          <w:p>
            <w:pPr>
              <w:adjustRightInd w:val="0"/>
              <w:snapToGrid w:val="0"/>
              <w:spacing w:line="360" w:lineRule="auto"/>
              <w:jc w:val="left"/>
              <w:rPr>
                <w:rFonts w:ascii="宋体" w:hAnsi="Times New Roman" w:eastAsia="宋体" w:cs="Times New Roman"/>
                <w:sz w:val="28"/>
                <w:szCs w:val="28"/>
              </w:rPr>
            </w:pPr>
          </w:p>
        </w:tc>
        <w:tc>
          <w:tcPr>
            <w:tcW w:w="1217" w:type="dxa"/>
          </w:tcPr>
          <w:p>
            <w:pPr>
              <w:adjustRightInd w:val="0"/>
              <w:snapToGrid w:val="0"/>
              <w:spacing w:line="360" w:lineRule="auto"/>
              <w:jc w:val="left"/>
              <w:rPr>
                <w:rFonts w:ascii="宋体" w:hAnsi="Times New Roman" w:eastAsia="宋体" w:cs="Times New Roman"/>
                <w:sz w:val="28"/>
                <w:szCs w:val="28"/>
              </w:rPr>
            </w:pPr>
          </w:p>
        </w:tc>
        <w:tc>
          <w:tcPr>
            <w:tcW w:w="1296" w:type="dxa"/>
          </w:tcPr>
          <w:p>
            <w:pPr>
              <w:adjustRightInd w:val="0"/>
              <w:snapToGrid w:val="0"/>
              <w:spacing w:line="360" w:lineRule="auto"/>
              <w:jc w:val="left"/>
              <w:rPr>
                <w:rFonts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808" w:type="dxa"/>
            <w:gridSpan w:val="5"/>
          </w:tcPr>
          <w:p>
            <w:pPr>
              <w:rPr>
                <w:rFonts w:ascii="宋体" w:hAnsi="Times New Roman" w:eastAsia="宋体" w:cs="Times New Roman"/>
                <w:sz w:val="28"/>
                <w:szCs w:val="28"/>
              </w:rPr>
            </w:pPr>
            <w:r>
              <w:rPr>
                <w:rFonts w:hint="eastAsia" w:ascii="宋体" w:hAnsi="Times New Roman" w:eastAsia="宋体" w:cs="Times New Roman"/>
                <w:sz w:val="28"/>
                <w:szCs w:val="28"/>
              </w:rPr>
              <w:t>说明：</w:t>
            </w:r>
            <w:r>
              <w:rPr>
                <w:rFonts w:ascii="宋体" w:hAnsi="Times New Roman" w:eastAsia="宋体" w:cs="Times New Roman"/>
                <w:sz w:val="28"/>
                <w:szCs w:val="28"/>
              </w:rPr>
              <w:t xml:space="preserve"> </w:t>
            </w:r>
          </w:p>
          <w:p>
            <w:pPr>
              <w:rPr>
                <w:rFonts w:ascii="宋体" w:hAnsi="Times New Roman" w:eastAsia="宋体" w:cs="Times New Roman"/>
                <w:sz w:val="28"/>
                <w:szCs w:val="28"/>
              </w:rPr>
            </w:pPr>
            <w:r>
              <w:rPr>
                <w:rFonts w:hint="eastAsia" w:ascii="宋体" w:hAnsi="Times New Roman" w:eastAsia="宋体" w:cs="Times New Roman"/>
                <w:sz w:val="28"/>
                <w:szCs w:val="28"/>
              </w:rPr>
              <w:t>1</w:t>
            </w:r>
            <w:r>
              <w:rPr>
                <w:rFonts w:ascii="宋体" w:hAnsi="Times New Roman" w:eastAsia="宋体" w:cs="Times New Roman"/>
                <w:sz w:val="28"/>
                <w:szCs w:val="28"/>
              </w:rPr>
              <w:t>监理时间为202</w:t>
            </w:r>
            <w:r>
              <w:rPr>
                <w:rFonts w:hint="eastAsia" w:ascii="宋体" w:hAnsi="Times New Roman" w:eastAsia="宋体" w:cs="Times New Roman"/>
                <w:sz w:val="28"/>
                <w:szCs w:val="28"/>
              </w:rPr>
              <w:t>1</w:t>
            </w:r>
            <w:r>
              <w:rPr>
                <w:rFonts w:ascii="宋体" w:hAnsi="Times New Roman" w:eastAsia="宋体" w:cs="Times New Roman"/>
                <w:sz w:val="28"/>
                <w:szCs w:val="28"/>
              </w:rPr>
              <w:t>年施工方进场至完工撤场（约</w:t>
            </w:r>
            <w:r>
              <w:rPr>
                <w:rFonts w:hint="eastAsia" w:ascii="宋体" w:hAnsi="Times New Roman" w:eastAsia="宋体" w:cs="Times New Roman"/>
                <w:sz w:val="28"/>
                <w:szCs w:val="28"/>
              </w:rPr>
              <w:t>100天</w:t>
            </w:r>
            <w:r>
              <w:rPr>
                <w:rFonts w:ascii="宋体" w:hAnsi="Times New Roman" w:eastAsia="宋体" w:cs="Times New Roman"/>
                <w:sz w:val="28"/>
                <w:szCs w:val="28"/>
              </w:rPr>
              <w:t>）。</w:t>
            </w:r>
          </w:p>
          <w:p>
            <w:r>
              <w:rPr>
                <w:rFonts w:hint="eastAsia" w:ascii="宋体" w:hAnsi="Times New Roman" w:eastAsia="宋体" w:cs="Times New Roman"/>
                <w:b/>
                <w:bCs/>
                <w:sz w:val="28"/>
                <w:szCs w:val="28"/>
              </w:rPr>
              <w:t>本次最高包干总价限价4.12万元。</w:t>
            </w:r>
          </w:p>
        </w:tc>
      </w:tr>
    </w:tbl>
    <w:p>
      <w:pPr>
        <w:adjustRightInd w:val="0"/>
        <w:snapToGrid w:val="0"/>
        <w:spacing w:line="360" w:lineRule="auto"/>
        <w:jc w:val="left"/>
        <w:rPr>
          <w:rFonts w:ascii="宋体" w:hAnsi="Times New Roman" w:eastAsia="宋体" w:cs="Times New Roman"/>
          <w:sz w:val="28"/>
          <w:szCs w:val="28"/>
        </w:rPr>
      </w:pPr>
    </w:p>
    <w:p/>
    <w:p/>
    <w:p/>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附件三</w:t>
      </w:r>
    </w:p>
    <w:p>
      <w:pPr>
        <w:widowControl/>
        <w:snapToGrid w:val="0"/>
        <w:spacing w:line="460" w:lineRule="exact"/>
        <w:jc w:val="center"/>
        <w:rPr>
          <w:rFonts w:ascii="黑体" w:hAnsi="黑体" w:eastAsia="黑体" w:cs="宋体"/>
          <w:bCs/>
          <w:kern w:val="0"/>
          <w:sz w:val="28"/>
          <w:szCs w:val="28"/>
        </w:rPr>
      </w:pPr>
      <w:r>
        <w:rPr>
          <w:rFonts w:hint="eastAsia" w:ascii="黑体" w:hAnsi="黑体" w:eastAsia="黑体" w:cs="宋体"/>
          <w:bCs/>
          <w:kern w:val="0"/>
          <w:sz w:val="28"/>
          <w:szCs w:val="28"/>
        </w:rPr>
        <w:t>投标人承诺书</w:t>
      </w:r>
    </w:p>
    <w:p>
      <w:pPr>
        <w:widowControl/>
        <w:snapToGrid w:val="0"/>
        <w:spacing w:line="460" w:lineRule="exact"/>
        <w:jc w:val="center"/>
        <w:rPr>
          <w:rFonts w:ascii="黑体" w:hAnsi="黑体" w:eastAsia="黑体" w:cs="宋体"/>
          <w:bCs/>
          <w:kern w:val="0"/>
          <w:sz w:val="28"/>
          <w:szCs w:val="28"/>
        </w:rPr>
      </w:pP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日参加_________________ 项目的开标活动。本单位承诺在开标过程中做到以下几点：</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1．参与投标人员积极配合交易场所工作人员进行体温检测和人员信息登记。不符合防控管理要求的人员，不进入开标场所。</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2．参加投标人员自觉做好个人防护，全程佩戴口罩，听从交易场所工作人员的引导。</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3．本单位所派投标人员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（联系电话），在</w:t>
      </w:r>
      <w:r>
        <w:rPr>
          <w:rFonts w:hint="eastAsia" w:ascii="宋体" w:hAnsi="宋体" w:eastAsia="宋体" w:cs="宋体"/>
          <w:kern w:val="0"/>
          <w:sz w:val="28"/>
          <w:szCs w:val="28"/>
          <w:u w:val="single"/>
        </w:rPr>
        <w:t>        </w:t>
      </w:r>
      <w:r>
        <w:rPr>
          <w:rFonts w:hint="eastAsia" w:ascii="仿宋" w:hAnsi="仿宋" w:eastAsia="仿宋" w:cs="仿宋"/>
          <w:kern w:val="0"/>
          <w:sz w:val="28"/>
          <w:szCs w:val="28"/>
        </w:rPr>
        <w:t>（省、市）居住，非中高风险地区返渝人员，非与疾控中心确诊者有密切接触人员，非重庆本地居民有可疑症状人员，目前身体状况良好。</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4．本单位保证做好投标前期的各项准备工作，提前到达开标区域，避免因工作疏忽导致时间拖延，造成人员聚集。</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5．开标活动结束后，本单位人员迅速离场，不逗留。</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 xml:space="preserve"> 如果所派人员出现疫情防控要求需留观、隔离的，由投标人自行负责，视为放弃派员参加</w:t>
      </w:r>
      <w:r>
        <w:rPr>
          <w:rFonts w:hint="eastAsia" w:ascii="仿宋" w:hAnsi="仿宋" w:eastAsia="仿宋" w:cs="仿宋"/>
          <w:kern w:val="0"/>
          <w:sz w:val="28"/>
          <w:szCs w:val="28"/>
        </w:rPr>
        <w:t>。</w:t>
      </w:r>
    </w:p>
    <w:p>
      <w:pPr>
        <w:snapToGrid w:val="0"/>
        <w:spacing w:line="460" w:lineRule="exact"/>
        <w:ind w:firstLine="592" w:firstLineChars="200"/>
        <w:rPr>
          <w:rFonts w:ascii="仿宋" w:hAnsi="仿宋" w:eastAsia="仿宋" w:cs="仿宋"/>
          <w:kern w:val="0"/>
          <w:sz w:val="28"/>
          <w:szCs w:val="28"/>
        </w:rPr>
      </w:pPr>
      <w:r>
        <w:rPr>
          <w:rFonts w:hint="eastAsia" w:ascii="仿宋" w:hAnsi="仿宋" w:eastAsia="仿宋" w:cs="仿宋"/>
          <w:spacing w:val="8"/>
          <w:sz w:val="2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460" w:lineRule="exact"/>
        <w:ind w:firstLine="5320" w:firstLineChars="1900"/>
        <w:rPr>
          <w:rFonts w:hint="eastAsia" w:ascii="仿宋" w:hAnsi="仿宋" w:eastAsia="仿宋" w:cs="仿宋"/>
          <w:kern w:val="0"/>
          <w:sz w:val="28"/>
          <w:szCs w:val="28"/>
          <w:lang w:eastAsia="zh-CN"/>
        </w:rPr>
      </w:pPr>
      <w:r>
        <w:rPr>
          <w:rFonts w:hint="eastAsia" w:ascii="仿宋" w:hAnsi="仿宋" w:eastAsia="仿宋" w:cs="仿宋"/>
          <w:kern w:val="0"/>
          <w:sz w:val="28"/>
          <w:szCs w:val="28"/>
        </w:rPr>
        <w:t>承诺人（公章）：</w:t>
      </w:r>
    </w:p>
    <w:p>
      <w:pPr>
        <w:snapToGrid w:val="0"/>
        <w:spacing w:line="460" w:lineRule="exact"/>
        <w:ind w:firstLine="5320" w:firstLineChars="1900"/>
        <w:rPr>
          <w:rFonts w:ascii="仿宋" w:hAnsi="仿宋" w:eastAsia="仿宋" w:cs="仿宋"/>
          <w:kern w:val="0"/>
          <w:sz w:val="28"/>
          <w:szCs w:val="28"/>
        </w:rPr>
      </w:pPr>
      <w:r>
        <w:rPr>
          <w:rFonts w:hint="eastAsia" w:ascii="宋体" w:hAnsi="宋体" w:eastAsia="宋体" w:cs="宋体"/>
          <w:kern w:val="0"/>
          <w:sz w:val="28"/>
          <w:szCs w:val="28"/>
        </w:rPr>
        <w:t> </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年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月 </w:t>
      </w:r>
      <w:r>
        <w:rPr>
          <w:rFonts w:hint="eastAsia" w:ascii="宋体" w:hAnsi="宋体" w:eastAsia="宋体" w:cs="宋体"/>
          <w:kern w:val="0"/>
          <w:sz w:val="28"/>
          <w:szCs w:val="28"/>
        </w:rPr>
        <w:t>  </w:t>
      </w:r>
      <w:r>
        <w:rPr>
          <w:rFonts w:hint="eastAsia" w:ascii="仿宋" w:hAnsi="仿宋" w:eastAsia="仿宋" w:cs="仿宋"/>
          <w:kern w:val="0"/>
          <w:sz w:val="28"/>
          <w:szCs w:val="28"/>
        </w:rPr>
        <w:t>日</w:t>
      </w:r>
    </w:p>
    <w:sectPr>
      <w:footerReference r:id="rId4" w:type="default"/>
      <w:pgSz w:w="11906" w:h="16838"/>
      <w:pgMar w:top="1440" w:right="1446" w:bottom="1644" w:left="1446"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EB"/>
    <w:rsid w:val="00003A3D"/>
    <w:rsid w:val="00005D99"/>
    <w:rsid w:val="000A4439"/>
    <w:rsid w:val="00110676"/>
    <w:rsid w:val="001453CA"/>
    <w:rsid w:val="00165066"/>
    <w:rsid w:val="00175381"/>
    <w:rsid w:val="00187446"/>
    <w:rsid w:val="001A4231"/>
    <w:rsid w:val="001C7FA2"/>
    <w:rsid w:val="00216E85"/>
    <w:rsid w:val="002626BC"/>
    <w:rsid w:val="00284BCA"/>
    <w:rsid w:val="00284FFC"/>
    <w:rsid w:val="0028512B"/>
    <w:rsid w:val="002B7B50"/>
    <w:rsid w:val="002E3876"/>
    <w:rsid w:val="003221ED"/>
    <w:rsid w:val="003603BC"/>
    <w:rsid w:val="003711E5"/>
    <w:rsid w:val="004E785D"/>
    <w:rsid w:val="004F17B3"/>
    <w:rsid w:val="005135AE"/>
    <w:rsid w:val="00514671"/>
    <w:rsid w:val="005C2D1A"/>
    <w:rsid w:val="005E79E3"/>
    <w:rsid w:val="006965A8"/>
    <w:rsid w:val="006C178D"/>
    <w:rsid w:val="007313D6"/>
    <w:rsid w:val="007508B1"/>
    <w:rsid w:val="007A4C1B"/>
    <w:rsid w:val="007C028A"/>
    <w:rsid w:val="00816651"/>
    <w:rsid w:val="00872DCE"/>
    <w:rsid w:val="0089244B"/>
    <w:rsid w:val="008A25E3"/>
    <w:rsid w:val="008C0485"/>
    <w:rsid w:val="008F7617"/>
    <w:rsid w:val="00931D14"/>
    <w:rsid w:val="00935AC9"/>
    <w:rsid w:val="009426A6"/>
    <w:rsid w:val="00966F2C"/>
    <w:rsid w:val="009B255B"/>
    <w:rsid w:val="009C773B"/>
    <w:rsid w:val="00A820DB"/>
    <w:rsid w:val="00AA199C"/>
    <w:rsid w:val="00AB5A5D"/>
    <w:rsid w:val="00AB663F"/>
    <w:rsid w:val="00AF4CEE"/>
    <w:rsid w:val="00AF528E"/>
    <w:rsid w:val="00B06EE6"/>
    <w:rsid w:val="00B31F5B"/>
    <w:rsid w:val="00B40253"/>
    <w:rsid w:val="00B60945"/>
    <w:rsid w:val="00B6571F"/>
    <w:rsid w:val="00B67EDA"/>
    <w:rsid w:val="00B817A7"/>
    <w:rsid w:val="00BA32A0"/>
    <w:rsid w:val="00BD4879"/>
    <w:rsid w:val="00BD4EEB"/>
    <w:rsid w:val="00C15C6D"/>
    <w:rsid w:val="00C71E33"/>
    <w:rsid w:val="00C71E8E"/>
    <w:rsid w:val="00C90041"/>
    <w:rsid w:val="00C97C42"/>
    <w:rsid w:val="00D12E61"/>
    <w:rsid w:val="00D86CC6"/>
    <w:rsid w:val="00D931E3"/>
    <w:rsid w:val="00E06467"/>
    <w:rsid w:val="00E42148"/>
    <w:rsid w:val="00E77FB2"/>
    <w:rsid w:val="00E94176"/>
    <w:rsid w:val="00EB7492"/>
    <w:rsid w:val="00F258CD"/>
    <w:rsid w:val="00F52762"/>
    <w:rsid w:val="00FD7957"/>
    <w:rsid w:val="00FE79C0"/>
    <w:rsid w:val="02661AEA"/>
    <w:rsid w:val="15C234D1"/>
    <w:rsid w:val="313F08C7"/>
    <w:rsid w:val="51BA2E99"/>
    <w:rsid w:val="58D364E8"/>
    <w:rsid w:val="58FE36BA"/>
    <w:rsid w:val="70E24C73"/>
    <w:rsid w:val="7A64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6ECDE-F388-43E8-95DF-CEDD4701AB10}">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337</Words>
  <Characters>1924</Characters>
  <Lines>16</Lines>
  <Paragraphs>4</Paragraphs>
  <TotalTime>33</TotalTime>
  <ScaleCrop>false</ScaleCrop>
  <LinksUpToDate>false</LinksUpToDate>
  <CharactersWithSpaces>2257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2020-05-06T03:40:00Z</dcterms:created>
  <dc:creator>Administrator</dc:creator>
  <cp:lastModifiedBy>nina</cp:lastModifiedBy>
  <cp:lastPrinted>2021-06-30T00:34:00Z</cp:lastPrinted>
  <dcterms:modified xsi:type="dcterms:W3CDTF">2021-12-21T06:53:16Z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B426E05ACB7A48E5B8476C4368412CD9</vt:lpwstr>
  </property>
</Properties>
</file>