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黑体_GBK" w:hAnsi="宋体" w:eastAsia="方正黑体_GBK"/>
          <w:spacing w:val="80"/>
          <w:sz w:val="112"/>
          <w:szCs w:val="112"/>
        </w:rPr>
      </w:pPr>
    </w:p>
    <w:p>
      <w:pPr>
        <w:jc w:val="center"/>
        <w:outlineLvl w:val="0"/>
        <w:rPr>
          <w:rFonts w:ascii="方正黑体_GBK" w:hAnsi="宋体" w:eastAsia="方正黑体_GBK"/>
          <w:spacing w:val="80"/>
          <w:sz w:val="112"/>
          <w:szCs w:val="112"/>
        </w:rPr>
      </w:pPr>
      <w:bookmarkStart w:id="0" w:name="_Toc23253"/>
      <w:r>
        <w:rPr>
          <w:rFonts w:hint="eastAsia" w:ascii="方正黑体_GBK" w:hAnsi="宋体" w:eastAsia="方正黑体_GBK"/>
          <w:spacing w:val="80"/>
          <w:sz w:val="112"/>
          <w:szCs w:val="112"/>
        </w:rPr>
        <w:t>竞争性谈判文件</w:t>
      </w:r>
      <w:bookmarkEnd w:id="0"/>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ind w:firstLine="1801" w:firstLineChars="500"/>
        <w:rPr>
          <w:rFonts w:hint="eastAsia" w:ascii="方正仿宋_GBK" w:hAnsi="方正仿宋_GBK" w:eastAsia="方正仿宋_GBK" w:cs="方正仿宋_GBK"/>
          <w:b/>
          <w:bCs/>
          <w:sz w:val="36"/>
          <w:szCs w:val="36"/>
          <w:lang w:eastAsia="zh-CN"/>
        </w:rPr>
      </w:pPr>
      <w:r>
        <w:rPr>
          <w:rFonts w:hint="eastAsia" w:ascii="方正仿宋_GBK" w:hAnsi="方正仿宋_GBK" w:eastAsia="方正仿宋_GBK" w:cs="方正仿宋_GBK"/>
          <w:b/>
          <w:bCs/>
          <w:sz w:val="36"/>
          <w:szCs w:val="36"/>
        </w:rPr>
        <w:t>谈判项目编号：</w:t>
      </w:r>
      <w:r>
        <w:rPr>
          <w:rFonts w:hint="eastAsia" w:ascii="方正仿宋_GBK" w:hAnsi="方正仿宋_GBK" w:eastAsia="方正仿宋_GBK" w:cs="方正仿宋_GBK"/>
          <w:b/>
          <w:bCs/>
          <w:sz w:val="36"/>
          <w:szCs w:val="36"/>
          <w:lang w:eastAsia="zh-CN"/>
        </w:rPr>
        <w:t>CSWU2020A-14</w:t>
      </w:r>
    </w:p>
    <w:p>
      <w:pPr>
        <w:spacing w:line="700" w:lineRule="exact"/>
        <w:rPr>
          <w:rFonts w:hint="default" w:ascii="方正仿宋_GBK" w:hAnsi="方正仿宋_GBK" w:eastAsia="方正仿宋_GBK" w:cs="方正仿宋_GBK"/>
          <w:b/>
          <w:bCs/>
          <w:sz w:val="36"/>
          <w:szCs w:val="30"/>
          <w:lang w:val="en-US" w:eastAsia="zh-CN"/>
        </w:rPr>
      </w:pPr>
      <w:r>
        <w:rPr>
          <w:rFonts w:hint="eastAsia" w:ascii="方正仿宋_GBK" w:hAnsi="方正仿宋_GBK" w:eastAsia="方正仿宋_GBK" w:cs="方正仿宋_GBK"/>
          <w:b/>
          <w:bCs/>
          <w:sz w:val="36"/>
          <w:szCs w:val="30"/>
        </w:rPr>
        <w:t>项目名称：重庆城市管理职业学院</w:t>
      </w:r>
      <w:r>
        <w:rPr>
          <w:rFonts w:hint="eastAsia" w:ascii="方正仿宋_GBK" w:hAnsi="方正仿宋_GBK" w:eastAsia="方正仿宋_GBK" w:cs="方正仿宋_GBK"/>
          <w:b/>
          <w:bCs/>
          <w:sz w:val="36"/>
          <w:szCs w:val="30"/>
          <w:lang w:val="en-US" w:eastAsia="zh-CN"/>
        </w:rPr>
        <w:t>物联网1+X证书实训设备</w:t>
      </w:r>
    </w:p>
    <w:p>
      <w:pPr>
        <w:spacing w:line="700" w:lineRule="exact"/>
        <w:ind w:firstLine="1750" w:firstLineChars="486"/>
        <w:rPr>
          <w:rFonts w:ascii="方正仿宋_GBK" w:hAnsi="方正仿宋_GBK" w:eastAsia="方正仿宋_GBK" w:cs="方正仿宋_GBK"/>
          <w:b/>
          <w:bCs/>
          <w:sz w:val="36"/>
          <w:szCs w:val="30"/>
        </w:rPr>
      </w:pPr>
    </w:p>
    <w:p>
      <w:pPr>
        <w:spacing w:line="700" w:lineRule="exact"/>
        <w:rPr>
          <w:rFonts w:ascii="宋体" w:hAnsi="宋体"/>
          <w:b/>
          <w:sz w:val="30"/>
          <w:szCs w:val="30"/>
        </w:rPr>
      </w:pPr>
    </w:p>
    <w:p>
      <w:pPr>
        <w:spacing w:line="700" w:lineRule="exact"/>
        <w:rPr>
          <w:rFonts w:ascii="方正小标宋_GBK" w:hAnsi="宋体" w:eastAsia="方正小标宋_GBK"/>
          <w:sz w:val="36"/>
          <w:szCs w:val="30"/>
        </w:rPr>
      </w:pPr>
    </w:p>
    <w:p>
      <w:pPr>
        <w:spacing w:line="700" w:lineRule="exact"/>
        <w:jc w:val="center"/>
        <w:rPr>
          <w:rFonts w:ascii="宋体" w:hAnsi="宋体"/>
          <w:b/>
          <w:sz w:val="32"/>
          <w:szCs w:val="32"/>
        </w:rPr>
      </w:pPr>
      <w:r>
        <w:rPr>
          <w:rFonts w:hint="eastAsia" w:ascii="方正小标宋_GBK" w:hAnsi="宋体" w:eastAsia="方正小标宋_GBK"/>
          <w:sz w:val="36"/>
          <w:szCs w:val="30"/>
        </w:rPr>
        <w:t>采购人：重庆城市管理职业学院</w:t>
      </w:r>
    </w:p>
    <w:p>
      <w:pPr>
        <w:spacing w:line="720" w:lineRule="exact"/>
        <w:jc w:val="center"/>
        <w:outlineLvl w:val="0"/>
        <w:rPr>
          <w:rFonts w:ascii="方正黑体_GBK" w:hAnsi="宋体" w:eastAsia="方正黑体_GBK"/>
          <w:sz w:val="36"/>
          <w:szCs w:val="36"/>
        </w:rPr>
      </w:pPr>
      <w:bookmarkStart w:id="1" w:name="_Toc1415"/>
      <w:r>
        <w:rPr>
          <w:rFonts w:hint="eastAsia" w:ascii="方正黑体_GBK" w:hAnsi="宋体" w:eastAsia="方正黑体_GBK"/>
          <w:sz w:val="36"/>
          <w:szCs w:val="36"/>
        </w:rPr>
        <w:t>二〇二〇年十一月</w:t>
      </w:r>
      <w:bookmarkEnd w:id="1"/>
    </w:p>
    <w:p>
      <w:pPr>
        <w:spacing w:line="480" w:lineRule="exact"/>
        <w:rPr>
          <w:rFonts w:ascii="方正黑体_GBK" w:eastAsia="方正黑体_GBK"/>
          <w:sz w:val="44"/>
          <w:szCs w:val="28"/>
        </w:rPr>
      </w:pPr>
    </w:p>
    <w:p>
      <w:pPr>
        <w:spacing w:line="480" w:lineRule="exact"/>
        <w:rPr>
          <w:rFonts w:ascii="方正黑体_GBK" w:eastAsia="方正黑体_GBK"/>
          <w:sz w:val="44"/>
          <w:szCs w:val="28"/>
        </w:rPr>
      </w:pPr>
    </w:p>
    <w:sdt>
      <w:sdtPr>
        <w:rPr>
          <w:rFonts w:ascii="宋体" w:hAnsi="宋体"/>
          <w:sz w:val="21"/>
        </w:rPr>
        <w:id w:val="147471319"/>
        <w15:color w:val="DBDBDB"/>
        <w:docPartObj>
          <w:docPartGallery w:val="Table of Contents"/>
          <w:docPartUnique/>
        </w:docPartObj>
      </w:sdtPr>
      <w:sdtEndPr>
        <w:rPr>
          <w:rFonts w:ascii="方正仿宋_GBK" w:hAnsi="Calibri" w:eastAsia="方正仿宋_GBK"/>
          <w:b/>
          <w:sz w:val="28"/>
        </w:rPr>
      </w:sdtEndPr>
      <w:sdtContent>
        <w:p>
          <w:pPr>
            <w:jc w:val="center"/>
            <w:rPr>
              <w:rFonts w:ascii="宋体" w:hAnsi="宋体"/>
              <w:sz w:val="21"/>
            </w:rPr>
          </w:pPr>
        </w:p>
        <w:p>
          <w:pPr>
            <w:jc w:val="center"/>
            <w:rPr>
              <w:rFonts w:ascii="宋体" w:hAnsi="宋体"/>
              <w:sz w:val="21"/>
            </w:rPr>
          </w:pPr>
        </w:p>
        <w:p>
          <w:pPr>
            <w:jc w:val="center"/>
            <w:rPr>
              <w:rFonts w:ascii="宋体" w:hAnsi="宋体"/>
              <w:sz w:val="21"/>
            </w:rPr>
          </w:pPr>
        </w:p>
        <w:p>
          <w:pPr>
            <w:jc w:val="center"/>
            <w:rPr>
              <w:rFonts w:ascii="宋体" w:hAnsi="宋体"/>
              <w:sz w:val="21"/>
            </w:rPr>
          </w:pPr>
        </w:p>
        <w:p>
          <w:pPr>
            <w:jc w:val="center"/>
            <w:rPr>
              <w:rFonts w:ascii="宋体" w:hAnsi="宋体"/>
              <w:sz w:val="21"/>
            </w:rPr>
          </w:pPr>
        </w:p>
        <w:p>
          <w:pPr>
            <w:jc w:val="center"/>
            <w:rPr>
              <w:rFonts w:ascii="宋体" w:hAnsi="宋体"/>
              <w:sz w:val="21"/>
            </w:rPr>
          </w:pPr>
        </w:p>
        <w:p>
          <w:pPr>
            <w:jc w:val="center"/>
            <w:rPr>
              <w:rFonts w:ascii="宋体" w:hAnsi="宋体"/>
              <w:sz w:val="21"/>
            </w:rPr>
          </w:pPr>
        </w:p>
        <w:p>
          <w:pPr>
            <w:jc w:val="center"/>
            <w:rPr>
              <w:rFonts w:ascii="宋体" w:hAnsi="宋体"/>
              <w:sz w:val="21"/>
            </w:rPr>
          </w:pPr>
        </w:p>
        <w:p>
          <w:pPr>
            <w:jc w:val="center"/>
            <w:rPr>
              <w:rFonts w:ascii="宋体" w:hAnsi="宋体"/>
              <w:sz w:val="21"/>
            </w:rPr>
          </w:pPr>
        </w:p>
        <w:p>
          <w:pPr>
            <w:rPr>
              <w:rFonts w:ascii="宋体" w:hAnsi="宋体"/>
              <w:b/>
              <w:bCs/>
              <w:szCs w:val="28"/>
            </w:rPr>
          </w:pPr>
        </w:p>
        <w:p>
          <w:pPr>
            <w:jc w:val="center"/>
            <w:rPr>
              <w:rFonts w:ascii="宋体" w:hAnsi="宋体"/>
              <w:sz w:val="32"/>
              <w:szCs w:val="32"/>
            </w:rPr>
          </w:pPr>
        </w:p>
        <w:p>
          <w:pPr>
            <w:jc w:val="center"/>
            <w:rPr>
              <w:rFonts w:ascii="黑体" w:hAnsi="黑体" w:eastAsia="黑体" w:cs="黑体"/>
              <w:sz w:val="32"/>
              <w:szCs w:val="32"/>
            </w:rPr>
          </w:pPr>
          <w:r>
            <w:rPr>
              <w:rFonts w:hint="eastAsia" w:ascii="黑体" w:hAnsi="黑体" w:eastAsia="黑体" w:cs="黑体"/>
              <w:sz w:val="32"/>
              <w:szCs w:val="32"/>
            </w:rPr>
            <w:t>目录</w:t>
          </w:r>
        </w:p>
        <w:p>
          <w:pPr>
            <w:jc w:val="center"/>
          </w:pPr>
          <w:r>
            <w:rPr>
              <w:rFonts w:ascii="方正仿宋_GBK" w:eastAsia="方正仿宋_GBK"/>
              <w:sz w:val="18"/>
            </w:rPr>
            <w:fldChar w:fldCharType="begin"/>
          </w:r>
          <w:r>
            <w:rPr>
              <w:rFonts w:ascii="方正仿宋_GBK" w:eastAsia="方正仿宋_GBK"/>
              <w:sz w:val="18"/>
            </w:rPr>
            <w:instrText xml:space="preserve">TOC \o "1-2" \h \u </w:instrText>
          </w:r>
          <w:r>
            <w:rPr>
              <w:rFonts w:ascii="方正仿宋_GBK" w:eastAsia="方正仿宋_GBK"/>
              <w:sz w:val="18"/>
            </w:rPr>
            <w:fldChar w:fldCharType="separate"/>
          </w:r>
          <w:r>
            <w:fldChar w:fldCharType="begin"/>
          </w:r>
          <w:r>
            <w:instrText xml:space="preserve"> HYPERLINK \l "_Toc23253" </w:instrText>
          </w:r>
          <w:r>
            <w:fldChar w:fldCharType="separate"/>
          </w:r>
          <w:r>
            <w:fldChar w:fldCharType="end"/>
          </w:r>
        </w:p>
        <w:p>
          <w:pPr>
            <w:pStyle w:val="25"/>
            <w:tabs>
              <w:tab w:val="right" w:leader="dot" w:pos="9412"/>
            </w:tabs>
            <w:ind w:left="560"/>
            <w:rPr>
              <w:sz w:val="28"/>
              <w:szCs w:val="28"/>
            </w:rPr>
          </w:pPr>
          <w:r>
            <w:fldChar w:fldCharType="begin"/>
          </w:r>
          <w:r>
            <w:instrText xml:space="preserve"> HYPERLINK \l "_Toc12911" </w:instrText>
          </w:r>
          <w:r>
            <w:fldChar w:fldCharType="separate"/>
          </w:r>
          <w:r>
            <w:rPr>
              <w:rFonts w:hint="eastAsia" w:ascii="方正小标宋_GBK" w:hAnsi="宋体" w:eastAsia="方正小标宋_GBK"/>
              <w:sz w:val="28"/>
              <w:szCs w:val="28"/>
            </w:rPr>
            <w:t>第一篇  竞争性谈判邀请书</w:t>
          </w:r>
          <w:r>
            <w:rPr>
              <w:sz w:val="28"/>
              <w:szCs w:val="28"/>
            </w:rPr>
            <w:tab/>
          </w:r>
          <w:r>
            <w:rPr>
              <w:sz w:val="28"/>
              <w:szCs w:val="28"/>
            </w:rPr>
            <w:fldChar w:fldCharType="begin"/>
          </w:r>
          <w:r>
            <w:rPr>
              <w:sz w:val="28"/>
              <w:szCs w:val="28"/>
            </w:rPr>
            <w:instrText xml:space="preserve"> PAGEREF _Toc12911 </w:instrText>
          </w:r>
          <w:r>
            <w:rPr>
              <w:sz w:val="28"/>
              <w:szCs w:val="28"/>
            </w:rPr>
            <w:fldChar w:fldCharType="separate"/>
          </w:r>
          <w:r>
            <w:rPr>
              <w:sz w:val="28"/>
              <w:szCs w:val="28"/>
            </w:rPr>
            <w:t>- 4 -</w:t>
          </w:r>
          <w:r>
            <w:rPr>
              <w:sz w:val="28"/>
              <w:szCs w:val="28"/>
            </w:rPr>
            <w:fldChar w:fldCharType="end"/>
          </w:r>
          <w:r>
            <w:rPr>
              <w:sz w:val="28"/>
              <w:szCs w:val="28"/>
            </w:rPr>
            <w:fldChar w:fldCharType="end"/>
          </w:r>
        </w:p>
        <w:p>
          <w:pPr>
            <w:pStyle w:val="25"/>
            <w:tabs>
              <w:tab w:val="right" w:leader="dot" w:pos="9412"/>
            </w:tabs>
            <w:ind w:left="560"/>
            <w:rPr>
              <w:sz w:val="28"/>
              <w:szCs w:val="28"/>
            </w:rPr>
          </w:pPr>
          <w:r>
            <w:fldChar w:fldCharType="begin"/>
          </w:r>
          <w:r>
            <w:instrText xml:space="preserve"> HYPERLINK \l "_Toc14003" </w:instrText>
          </w:r>
          <w:r>
            <w:fldChar w:fldCharType="separate"/>
          </w:r>
          <w:r>
            <w:rPr>
              <w:rFonts w:hint="eastAsia" w:ascii="方正小标宋_GBK" w:hAnsi="宋体" w:eastAsia="方正小标宋_GBK"/>
              <w:sz w:val="28"/>
              <w:szCs w:val="28"/>
            </w:rPr>
            <w:t>第二篇 谈判项目技术需求</w:t>
          </w:r>
          <w:r>
            <w:rPr>
              <w:sz w:val="28"/>
              <w:szCs w:val="28"/>
            </w:rPr>
            <w:tab/>
          </w:r>
          <w:r>
            <w:rPr>
              <w:sz w:val="28"/>
              <w:szCs w:val="28"/>
            </w:rPr>
            <w:fldChar w:fldCharType="begin"/>
          </w:r>
          <w:r>
            <w:rPr>
              <w:sz w:val="28"/>
              <w:szCs w:val="28"/>
            </w:rPr>
            <w:instrText xml:space="preserve"> PAGEREF _Toc14003 </w:instrText>
          </w:r>
          <w:r>
            <w:rPr>
              <w:sz w:val="28"/>
              <w:szCs w:val="28"/>
            </w:rPr>
            <w:fldChar w:fldCharType="separate"/>
          </w:r>
          <w:r>
            <w:rPr>
              <w:sz w:val="28"/>
              <w:szCs w:val="28"/>
            </w:rPr>
            <w:t>- 7 -</w:t>
          </w:r>
          <w:r>
            <w:rPr>
              <w:sz w:val="28"/>
              <w:szCs w:val="28"/>
            </w:rPr>
            <w:fldChar w:fldCharType="end"/>
          </w:r>
          <w:r>
            <w:rPr>
              <w:sz w:val="28"/>
              <w:szCs w:val="28"/>
            </w:rPr>
            <w:fldChar w:fldCharType="end"/>
          </w:r>
        </w:p>
        <w:p>
          <w:pPr>
            <w:pStyle w:val="25"/>
            <w:tabs>
              <w:tab w:val="right" w:leader="dot" w:pos="9412"/>
            </w:tabs>
            <w:ind w:left="560"/>
            <w:rPr>
              <w:sz w:val="28"/>
              <w:szCs w:val="28"/>
            </w:rPr>
          </w:pPr>
          <w:r>
            <w:fldChar w:fldCharType="begin"/>
          </w:r>
          <w:r>
            <w:instrText xml:space="preserve"> HYPERLINK \l "_Toc4896" </w:instrText>
          </w:r>
          <w:r>
            <w:fldChar w:fldCharType="separate"/>
          </w:r>
          <w:r>
            <w:rPr>
              <w:rFonts w:hint="eastAsia" w:ascii="方正仿宋_GBK" w:eastAsia="方正仿宋_GBK"/>
              <w:sz w:val="28"/>
              <w:szCs w:val="28"/>
            </w:rPr>
            <w:t>一、项目建设要求</w:t>
          </w:r>
          <w:r>
            <w:rPr>
              <w:sz w:val="28"/>
              <w:szCs w:val="28"/>
            </w:rPr>
            <w:tab/>
          </w:r>
          <w:r>
            <w:rPr>
              <w:sz w:val="28"/>
              <w:szCs w:val="28"/>
            </w:rPr>
            <w:fldChar w:fldCharType="begin"/>
          </w:r>
          <w:r>
            <w:rPr>
              <w:sz w:val="28"/>
              <w:szCs w:val="28"/>
            </w:rPr>
            <w:instrText xml:space="preserve"> PAGEREF _Toc4896 </w:instrText>
          </w:r>
          <w:r>
            <w:rPr>
              <w:sz w:val="28"/>
              <w:szCs w:val="28"/>
            </w:rPr>
            <w:fldChar w:fldCharType="separate"/>
          </w:r>
          <w:r>
            <w:rPr>
              <w:sz w:val="28"/>
              <w:szCs w:val="28"/>
            </w:rPr>
            <w:t>- 7 -</w:t>
          </w:r>
          <w:r>
            <w:rPr>
              <w:sz w:val="28"/>
              <w:szCs w:val="28"/>
            </w:rPr>
            <w:fldChar w:fldCharType="end"/>
          </w:r>
          <w:r>
            <w:rPr>
              <w:sz w:val="28"/>
              <w:szCs w:val="28"/>
            </w:rPr>
            <w:fldChar w:fldCharType="end"/>
          </w:r>
        </w:p>
        <w:p>
          <w:pPr>
            <w:pStyle w:val="25"/>
            <w:tabs>
              <w:tab w:val="right" w:leader="dot" w:pos="9412"/>
            </w:tabs>
            <w:ind w:left="560"/>
            <w:rPr>
              <w:sz w:val="28"/>
              <w:szCs w:val="28"/>
            </w:rPr>
          </w:pPr>
          <w:r>
            <w:fldChar w:fldCharType="begin"/>
          </w:r>
          <w:r>
            <w:instrText xml:space="preserve"> HYPERLINK \l "_Toc25502" </w:instrText>
          </w:r>
          <w:r>
            <w:fldChar w:fldCharType="separate"/>
          </w:r>
          <w:r>
            <w:rPr>
              <w:rFonts w:hint="eastAsia" w:ascii="方正仿宋_GBK" w:eastAsia="方正仿宋_GBK"/>
              <w:sz w:val="28"/>
              <w:szCs w:val="28"/>
            </w:rPr>
            <w:t>二、采购清单</w:t>
          </w:r>
          <w:r>
            <w:rPr>
              <w:sz w:val="28"/>
              <w:szCs w:val="28"/>
            </w:rPr>
            <w:tab/>
          </w:r>
          <w:r>
            <w:rPr>
              <w:sz w:val="28"/>
              <w:szCs w:val="28"/>
            </w:rPr>
            <w:fldChar w:fldCharType="begin"/>
          </w:r>
          <w:r>
            <w:rPr>
              <w:sz w:val="28"/>
              <w:szCs w:val="28"/>
            </w:rPr>
            <w:instrText xml:space="preserve"> PAGEREF _Toc25502 </w:instrText>
          </w:r>
          <w:r>
            <w:rPr>
              <w:sz w:val="28"/>
              <w:szCs w:val="28"/>
            </w:rPr>
            <w:fldChar w:fldCharType="separate"/>
          </w:r>
          <w:r>
            <w:rPr>
              <w:sz w:val="28"/>
              <w:szCs w:val="28"/>
            </w:rPr>
            <w:t>- 7 -</w:t>
          </w:r>
          <w:r>
            <w:rPr>
              <w:sz w:val="28"/>
              <w:szCs w:val="28"/>
            </w:rPr>
            <w:fldChar w:fldCharType="end"/>
          </w:r>
          <w:r>
            <w:rPr>
              <w:sz w:val="28"/>
              <w:szCs w:val="28"/>
            </w:rPr>
            <w:fldChar w:fldCharType="end"/>
          </w:r>
        </w:p>
        <w:p>
          <w:pPr>
            <w:pStyle w:val="24"/>
            <w:tabs>
              <w:tab w:val="right" w:leader="dot" w:pos="9412"/>
            </w:tabs>
            <w:ind w:firstLine="600" w:firstLineChars="300"/>
            <w:rPr>
              <w:sz w:val="28"/>
              <w:szCs w:val="28"/>
            </w:rPr>
          </w:pPr>
          <w:r>
            <w:fldChar w:fldCharType="begin"/>
          </w:r>
          <w:r>
            <w:instrText xml:space="preserve"> HYPERLINK \l "_Toc8066" </w:instrText>
          </w:r>
          <w:r>
            <w:fldChar w:fldCharType="separate"/>
          </w:r>
          <w:r>
            <w:rPr>
              <w:rFonts w:hint="eastAsia" w:ascii="方正小标宋_GBK" w:hAnsi="宋体" w:eastAsia="方正小标宋_GBK"/>
              <w:sz w:val="28"/>
              <w:szCs w:val="28"/>
            </w:rPr>
            <w:t>第三篇 谈判项目服务需求</w:t>
          </w:r>
          <w:r>
            <w:rPr>
              <w:sz w:val="28"/>
              <w:szCs w:val="28"/>
            </w:rPr>
            <w:tab/>
          </w:r>
          <w:r>
            <w:rPr>
              <w:sz w:val="28"/>
              <w:szCs w:val="28"/>
            </w:rPr>
            <w:fldChar w:fldCharType="begin"/>
          </w:r>
          <w:r>
            <w:rPr>
              <w:sz w:val="28"/>
              <w:szCs w:val="28"/>
            </w:rPr>
            <w:instrText xml:space="preserve"> PAGEREF _Toc8066 </w:instrText>
          </w:r>
          <w:r>
            <w:rPr>
              <w:sz w:val="28"/>
              <w:szCs w:val="28"/>
            </w:rPr>
            <w:fldChar w:fldCharType="separate"/>
          </w:r>
          <w:r>
            <w:rPr>
              <w:sz w:val="28"/>
              <w:szCs w:val="28"/>
            </w:rPr>
            <w:t>- 10 -</w:t>
          </w:r>
          <w:r>
            <w:rPr>
              <w:sz w:val="28"/>
              <w:szCs w:val="28"/>
            </w:rPr>
            <w:fldChar w:fldCharType="end"/>
          </w:r>
          <w:r>
            <w:rPr>
              <w:sz w:val="28"/>
              <w:szCs w:val="28"/>
            </w:rPr>
            <w:fldChar w:fldCharType="end"/>
          </w:r>
        </w:p>
        <w:p>
          <w:pPr>
            <w:pStyle w:val="25"/>
            <w:tabs>
              <w:tab w:val="right" w:leader="dot" w:pos="9412"/>
            </w:tabs>
            <w:ind w:left="560"/>
            <w:rPr>
              <w:sz w:val="28"/>
              <w:szCs w:val="28"/>
            </w:rPr>
          </w:pPr>
          <w:r>
            <w:fldChar w:fldCharType="begin"/>
          </w:r>
          <w:r>
            <w:instrText xml:space="preserve"> HYPERLINK \l "_Toc18069" </w:instrText>
          </w:r>
          <w:r>
            <w:fldChar w:fldCharType="separate"/>
          </w:r>
          <w:r>
            <w:rPr>
              <w:rFonts w:hint="eastAsia" w:ascii="方正仿宋_GBK" w:hAnsi="宋体" w:eastAsia="方正仿宋_GBK"/>
              <w:sz w:val="28"/>
              <w:szCs w:val="28"/>
            </w:rPr>
            <w:t>一、交货时间、地点及验收要求</w:t>
          </w:r>
          <w:r>
            <w:rPr>
              <w:sz w:val="28"/>
              <w:szCs w:val="28"/>
            </w:rPr>
            <w:tab/>
          </w:r>
          <w:r>
            <w:rPr>
              <w:sz w:val="28"/>
              <w:szCs w:val="28"/>
            </w:rPr>
            <w:fldChar w:fldCharType="begin"/>
          </w:r>
          <w:r>
            <w:rPr>
              <w:sz w:val="28"/>
              <w:szCs w:val="28"/>
            </w:rPr>
            <w:instrText xml:space="preserve"> PAGEREF _Toc18069 </w:instrText>
          </w:r>
          <w:r>
            <w:rPr>
              <w:sz w:val="28"/>
              <w:szCs w:val="28"/>
            </w:rPr>
            <w:fldChar w:fldCharType="separate"/>
          </w:r>
          <w:r>
            <w:rPr>
              <w:sz w:val="28"/>
              <w:szCs w:val="28"/>
            </w:rPr>
            <w:t>- 10 -</w:t>
          </w:r>
          <w:r>
            <w:rPr>
              <w:sz w:val="28"/>
              <w:szCs w:val="28"/>
            </w:rPr>
            <w:fldChar w:fldCharType="end"/>
          </w:r>
          <w:r>
            <w:rPr>
              <w:sz w:val="28"/>
              <w:szCs w:val="28"/>
            </w:rPr>
            <w:fldChar w:fldCharType="end"/>
          </w:r>
        </w:p>
        <w:p>
          <w:pPr>
            <w:pStyle w:val="25"/>
            <w:tabs>
              <w:tab w:val="right" w:leader="dot" w:pos="9412"/>
            </w:tabs>
            <w:ind w:left="560"/>
            <w:rPr>
              <w:rFonts w:ascii="方正仿宋_GBK" w:hAnsi="宋体" w:eastAsia="方正仿宋_GBK"/>
              <w:sz w:val="28"/>
              <w:szCs w:val="28"/>
            </w:rPr>
          </w:pPr>
          <w:r>
            <w:fldChar w:fldCharType="begin"/>
          </w:r>
          <w:r>
            <w:instrText xml:space="preserve"> HYPERLINK \l "_Toc21980" </w:instrText>
          </w:r>
          <w:r>
            <w:fldChar w:fldCharType="separate"/>
          </w:r>
          <w:r>
            <w:rPr>
              <w:rFonts w:hint="eastAsia" w:ascii="方正仿宋_GBK" w:hAnsi="宋体" w:eastAsia="方正仿宋_GBK"/>
              <w:sz w:val="28"/>
              <w:szCs w:val="28"/>
            </w:rPr>
            <w:t>二、质量保证及售后服务要求</w:t>
          </w:r>
          <w:r>
            <w:rPr>
              <w:rFonts w:hint="eastAsia" w:ascii="方正仿宋_GBK" w:hAnsi="宋体" w:eastAsia="方正仿宋_GBK"/>
              <w:sz w:val="28"/>
              <w:szCs w:val="28"/>
            </w:rPr>
            <w:tab/>
          </w:r>
          <w:r>
            <w:rPr>
              <w:rFonts w:hint="eastAsia" w:ascii="方正仿宋_GBK" w:hAnsi="宋体" w:eastAsia="方正仿宋_GBK"/>
              <w:sz w:val="28"/>
              <w:szCs w:val="28"/>
            </w:rPr>
            <w:fldChar w:fldCharType="begin"/>
          </w:r>
          <w:r>
            <w:rPr>
              <w:rFonts w:hint="eastAsia" w:ascii="方正仿宋_GBK" w:hAnsi="宋体" w:eastAsia="方正仿宋_GBK"/>
              <w:sz w:val="28"/>
              <w:szCs w:val="28"/>
            </w:rPr>
            <w:instrText xml:space="preserve"> PAGEREF _Toc21980 </w:instrText>
          </w:r>
          <w:r>
            <w:rPr>
              <w:rFonts w:hint="eastAsia" w:ascii="方正仿宋_GBK" w:hAnsi="宋体" w:eastAsia="方正仿宋_GBK"/>
              <w:sz w:val="28"/>
              <w:szCs w:val="28"/>
            </w:rPr>
            <w:fldChar w:fldCharType="separate"/>
          </w:r>
          <w:r>
            <w:rPr>
              <w:rFonts w:hint="eastAsia" w:ascii="方正仿宋_GBK" w:hAnsi="宋体" w:eastAsia="方正仿宋_GBK"/>
              <w:sz w:val="28"/>
              <w:szCs w:val="28"/>
            </w:rPr>
            <w:t>- 10 -</w:t>
          </w:r>
          <w:r>
            <w:rPr>
              <w:rFonts w:hint="eastAsia" w:ascii="方正仿宋_GBK" w:hAnsi="宋体" w:eastAsia="方正仿宋_GBK"/>
              <w:sz w:val="28"/>
              <w:szCs w:val="28"/>
            </w:rPr>
            <w:fldChar w:fldCharType="end"/>
          </w:r>
          <w:r>
            <w:rPr>
              <w:rFonts w:hint="eastAsia" w:ascii="方正仿宋_GBK" w:hAnsi="宋体" w:eastAsia="方正仿宋_GBK"/>
              <w:sz w:val="28"/>
              <w:szCs w:val="28"/>
            </w:rPr>
            <w:fldChar w:fldCharType="end"/>
          </w:r>
        </w:p>
        <w:p>
          <w:pPr>
            <w:pStyle w:val="25"/>
            <w:tabs>
              <w:tab w:val="right" w:leader="dot" w:pos="9412"/>
            </w:tabs>
            <w:ind w:left="560"/>
            <w:rPr>
              <w:sz w:val="28"/>
              <w:szCs w:val="28"/>
            </w:rPr>
          </w:pPr>
          <w:r>
            <w:fldChar w:fldCharType="begin"/>
          </w:r>
          <w:r>
            <w:instrText xml:space="preserve"> HYPERLINK \l "_Toc7477" </w:instrText>
          </w:r>
          <w:r>
            <w:fldChar w:fldCharType="separate"/>
          </w:r>
          <w:r>
            <w:rPr>
              <w:rFonts w:hint="eastAsia" w:ascii="方正仿宋_GBK" w:hAnsi="宋体" w:eastAsia="方正仿宋_GBK"/>
              <w:sz w:val="28"/>
              <w:szCs w:val="28"/>
            </w:rPr>
            <w:t>三、 培训</w:t>
          </w:r>
          <w:r>
            <w:rPr>
              <w:rFonts w:hint="eastAsia" w:ascii="方正仿宋_GBK" w:hAnsi="宋体" w:eastAsia="方正仿宋_GBK"/>
              <w:sz w:val="28"/>
              <w:szCs w:val="28"/>
            </w:rPr>
            <w:tab/>
          </w:r>
          <w:r>
            <w:rPr>
              <w:rFonts w:hint="eastAsia" w:ascii="方正仿宋_GBK" w:hAnsi="宋体" w:eastAsia="方正仿宋_GBK"/>
              <w:sz w:val="28"/>
              <w:szCs w:val="28"/>
            </w:rPr>
            <w:fldChar w:fldCharType="begin"/>
          </w:r>
          <w:r>
            <w:rPr>
              <w:rFonts w:hint="eastAsia" w:ascii="方正仿宋_GBK" w:hAnsi="宋体" w:eastAsia="方正仿宋_GBK"/>
              <w:sz w:val="28"/>
              <w:szCs w:val="28"/>
            </w:rPr>
            <w:instrText xml:space="preserve"> PAGEREF _Toc7477 </w:instrText>
          </w:r>
          <w:r>
            <w:rPr>
              <w:rFonts w:hint="eastAsia" w:ascii="方正仿宋_GBK" w:hAnsi="宋体" w:eastAsia="方正仿宋_GBK"/>
              <w:sz w:val="28"/>
              <w:szCs w:val="28"/>
            </w:rPr>
            <w:fldChar w:fldCharType="separate"/>
          </w:r>
          <w:r>
            <w:rPr>
              <w:rFonts w:hint="eastAsia" w:ascii="方正仿宋_GBK" w:hAnsi="宋体" w:eastAsia="方正仿宋_GBK"/>
              <w:sz w:val="28"/>
              <w:szCs w:val="28"/>
            </w:rPr>
            <w:t>- 11 -</w:t>
          </w:r>
          <w:r>
            <w:rPr>
              <w:rFonts w:hint="eastAsia" w:ascii="方正仿宋_GBK" w:hAnsi="宋体" w:eastAsia="方正仿宋_GBK"/>
              <w:sz w:val="28"/>
              <w:szCs w:val="28"/>
            </w:rPr>
            <w:fldChar w:fldCharType="end"/>
          </w:r>
          <w:r>
            <w:rPr>
              <w:rFonts w:hint="eastAsia" w:ascii="方正仿宋_GBK" w:hAnsi="宋体" w:eastAsia="方正仿宋_GBK"/>
              <w:sz w:val="28"/>
              <w:szCs w:val="28"/>
            </w:rPr>
            <w:fldChar w:fldCharType="end"/>
          </w:r>
        </w:p>
        <w:p>
          <w:pPr>
            <w:pStyle w:val="25"/>
            <w:tabs>
              <w:tab w:val="right" w:leader="dot" w:pos="9412"/>
            </w:tabs>
            <w:ind w:left="560"/>
            <w:rPr>
              <w:sz w:val="28"/>
              <w:szCs w:val="28"/>
            </w:rPr>
          </w:pPr>
          <w:r>
            <w:fldChar w:fldCharType="begin"/>
          </w:r>
          <w:r>
            <w:instrText xml:space="preserve"> HYPERLINK \l "_Toc8081" </w:instrText>
          </w:r>
          <w:r>
            <w:fldChar w:fldCharType="separate"/>
          </w:r>
          <w:r>
            <w:rPr>
              <w:rFonts w:hint="eastAsia" w:ascii="方正仿宋_GBK" w:hAnsi="宋体" w:eastAsia="方正仿宋_GBK"/>
              <w:sz w:val="28"/>
              <w:szCs w:val="28"/>
            </w:rPr>
            <w:t>四、付款方式</w:t>
          </w:r>
          <w:r>
            <w:rPr>
              <w:sz w:val="28"/>
              <w:szCs w:val="28"/>
            </w:rPr>
            <w:tab/>
          </w:r>
          <w:r>
            <w:rPr>
              <w:sz w:val="28"/>
              <w:szCs w:val="28"/>
            </w:rPr>
            <w:fldChar w:fldCharType="begin"/>
          </w:r>
          <w:r>
            <w:rPr>
              <w:sz w:val="28"/>
              <w:szCs w:val="28"/>
            </w:rPr>
            <w:instrText xml:space="preserve"> PAGEREF _Toc8081 </w:instrText>
          </w:r>
          <w:r>
            <w:rPr>
              <w:sz w:val="28"/>
              <w:szCs w:val="28"/>
            </w:rPr>
            <w:fldChar w:fldCharType="separate"/>
          </w:r>
          <w:r>
            <w:rPr>
              <w:sz w:val="28"/>
              <w:szCs w:val="28"/>
            </w:rPr>
            <w:t>- 11 -</w:t>
          </w:r>
          <w:r>
            <w:rPr>
              <w:sz w:val="28"/>
              <w:szCs w:val="28"/>
            </w:rPr>
            <w:fldChar w:fldCharType="end"/>
          </w:r>
          <w:r>
            <w:rPr>
              <w:sz w:val="28"/>
              <w:szCs w:val="28"/>
            </w:rPr>
            <w:fldChar w:fldCharType="end"/>
          </w:r>
        </w:p>
        <w:p>
          <w:pPr>
            <w:pStyle w:val="25"/>
            <w:tabs>
              <w:tab w:val="right" w:leader="dot" w:pos="9412"/>
            </w:tabs>
            <w:ind w:left="560"/>
            <w:rPr>
              <w:sz w:val="28"/>
              <w:szCs w:val="28"/>
            </w:rPr>
          </w:pPr>
          <w:r>
            <w:fldChar w:fldCharType="begin"/>
          </w:r>
          <w:r>
            <w:instrText xml:space="preserve"> HYPERLINK \l "_Toc10101" </w:instrText>
          </w:r>
          <w:r>
            <w:fldChar w:fldCharType="separate"/>
          </w:r>
          <w:r>
            <w:rPr>
              <w:rFonts w:hint="eastAsia" w:ascii="方正仿宋_GBK" w:hAnsi="宋体" w:eastAsia="方正仿宋_GBK"/>
              <w:sz w:val="28"/>
              <w:szCs w:val="28"/>
            </w:rPr>
            <w:t>五、其他</w:t>
          </w:r>
          <w:r>
            <w:rPr>
              <w:sz w:val="28"/>
              <w:szCs w:val="28"/>
            </w:rPr>
            <w:tab/>
          </w:r>
          <w:r>
            <w:rPr>
              <w:sz w:val="28"/>
              <w:szCs w:val="28"/>
            </w:rPr>
            <w:fldChar w:fldCharType="begin"/>
          </w:r>
          <w:r>
            <w:rPr>
              <w:sz w:val="28"/>
              <w:szCs w:val="28"/>
            </w:rPr>
            <w:instrText xml:space="preserve"> PAGEREF _Toc10101 </w:instrText>
          </w:r>
          <w:r>
            <w:rPr>
              <w:sz w:val="28"/>
              <w:szCs w:val="28"/>
            </w:rPr>
            <w:fldChar w:fldCharType="separate"/>
          </w:r>
          <w:r>
            <w:rPr>
              <w:sz w:val="28"/>
              <w:szCs w:val="28"/>
            </w:rPr>
            <w:t>- 11 -</w:t>
          </w:r>
          <w:r>
            <w:rPr>
              <w:sz w:val="28"/>
              <w:szCs w:val="28"/>
            </w:rPr>
            <w:fldChar w:fldCharType="end"/>
          </w:r>
          <w:r>
            <w:rPr>
              <w:sz w:val="28"/>
              <w:szCs w:val="28"/>
            </w:rPr>
            <w:fldChar w:fldCharType="end"/>
          </w:r>
        </w:p>
        <w:p>
          <w:pPr>
            <w:pStyle w:val="25"/>
            <w:tabs>
              <w:tab w:val="right" w:leader="dot" w:pos="9412"/>
            </w:tabs>
            <w:ind w:left="560"/>
            <w:rPr>
              <w:sz w:val="28"/>
              <w:szCs w:val="28"/>
            </w:rPr>
          </w:pPr>
          <w:r>
            <w:fldChar w:fldCharType="begin"/>
          </w:r>
          <w:r>
            <w:instrText xml:space="preserve"> HYPERLINK \l "_Toc23124" </w:instrText>
          </w:r>
          <w:r>
            <w:fldChar w:fldCharType="separate"/>
          </w:r>
          <w:r>
            <w:rPr>
              <w:rFonts w:hint="eastAsia" w:ascii="方正小标宋_GBK" w:hAnsi="宋体" w:eastAsia="方正小标宋_GBK"/>
              <w:sz w:val="28"/>
              <w:szCs w:val="28"/>
            </w:rPr>
            <w:t>第四篇  供应商须知</w:t>
          </w:r>
          <w:r>
            <w:rPr>
              <w:sz w:val="28"/>
              <w:szCs w:val="28"/>
            </w:rPr>
            <w:tab/>
          </w:r>
          <w:r>
            <w:rPr>
              <w:sz w:val="28"/>
              <w:szCs w:val="28"/>
            </w:rPr>
            <w:fldChar w:fldCharType="begin"/>
          </w:r>
          <w:r>
            <w:rPr>
              <w:sz w:val="28"/>
              <w:szCs w:val="28"/>
            </w:rPr>
            <w:instrText xml:space="preserve"> PAGEREF _Toc23124 </w:instrText>
          </w:r>
          <w:r>
            <w:rPr>
              <w:sz w:val="28"/>
              <w:szCs w:val="28"/>
            </w:rPr>
            <w:fldChar w:fldCharType="separate"/>
          </w:r>
          <w:r>
            <w:rPr>
              <w:sz w:val="28"/>
              <w:szCs w:val="28"/>
            </w:rPr>
            <w:t>- 12 -</w:t>
          </w:r>
          <w:r>
            <w:rPr>
              <w:sz w:val="28"/>
              <w:szCs w:val="28"/>
            </w:rPr>
            <w:fldChar w:fldCharType="end"/>
          </w:r>
          <w:r>
            <w:rPr>
              <w:sz w:val="28"/>
              <w:szCs w:val="28"/>
            </w:rPr>
            <w:fldChar w:fldCharType="end"/>
          </w:r>
        </w:p>
        <w:p>
          <w:pPr>
            <w:pStyle w:val="25"/>
            <w:tabs>
              <w:tab w:val="right" w:leader="dot" w:pos="9412"/>
            </w:tabs>
            <w:ind w:left="560"/>
            <w:rPr>
              <w:sz w:val="28"/>
              <w:szCs w:val="28"/>
            </w:rPr>
          </w:pPr>
          <w:r>
            <w:fldChar w:fldCharType="begin"/>
          </w:r>
          <w:r>
            <w:instrText xml:space="preserve"> HYPERLINK \l "_Toc15303" </w:instrText>
          </w:r>
          <w:r>
            <w:fldChar w:fldCharType="separate"/>
          </w:r>
          <w:r>
            <w:rPr>
              <w:rFonts w:hint="eastAsia" w:ascii="方正仿宋_GBK" w:eastAsia="方正仿宋_GBK"/>
              <w:sz w:val="28"/>
              <w:szCs w:val="28"/>
            </w:rPr>
            <w:t>一、谈判费用</w:t>
          </w:r>
          <w:r>
            <w:rPr>
              <w:sz w:val="28"/>
              <w:szCs w:val="28"/>
            </w:rPr>
            <w:tab/>
          </w:r>
          <w:r>
            <w:rPr>
              <w:sz w:val="28"/>
              <w:szCs w:val="28"/>
            </w:rPr>
            <w:fldChar w:fldCharType="begin"/>
          </w:r>
          <w:r>
            <w:rPr>
              <w:sz w:val="28"/>
              <w:szCs w:val="28"/>
            </w:rPr>
            <w:instrText xml:space="preserve"> PAGEREF _Toc15303 </w:instrText>
          </w:r>
          <w:r>
            <w:rPr>
              <w:sz w:val="28"/>
              <w:szCs w:val="28"/>
            </w:rPr>
            <w:fldChar w:fldCharType="separate"/>
          </w:r>
          <w:r>
            <w:rPr>
              <w:sz w:val="28"/>
              <w:szCs w:val="28"/>
            </w:rPr>
            <w:t>- 12 -</w:t>
          </w:r>
          <w:r>
            <w:rPr>
              <w:sz w:val="28"/>
              <w:szCs w:val="28"/>
            </w:rPr>
            <w:fldChar w:fldCharType="end"/>
          </w:r>
          <w:r>
            <w:rPr>
              <w:sz w:val="28"/>
              <w:szCs w:val="28"/>
            </w:rPr>
            <w:fldChar w:fldCharType="end"/>
          </w:r>
        </w:p>
        <w:p>
          <w:pPr>
            <w:pStyle w:val="25"/>
            <w:tabs>
              <w:tab w:val="right" w:leader="dot" w:pos="9412"/>
            </w:tabs>
            <w:ind w:left="560"/>
            <w:rPr>
              <w:sz w:val="28"/>
              <w:szCs w:val="28"/>
            </w:rPr>
          </w:pPr>
          <w:r>
            <w:fldChar w:fldCharType="begin"/>
          </w:r>
          <w:r>
            <w:instrText xml:space="preserve"> HYPERLINK \l "_Toc23597" </w:instrText>
          </w:r>
          <w:r>
            <w:fldChar w:fldCharType="separate"/>
          </w:r>
          <w:r>
            <w:rPr>
              <w:rFonts w:hint="eastAsia" w:ascii="方正仿宋_GBK" w:eastAsia="方正仿宋_GBK"/>
              <w:sz w:val="28"/>
              <w:szCs w:val="28"/>
            </w:rPr>
            <w:t>二、竞争性谈判文件</w:t>
          </w:r>
          <w:r>
            <w:rPr>
              <w:sz w:val="28"/>
              <w:szCs w:val="28"/>
            </w:rPr>
            <w:tab/>
          </w:r>
          <w:r>
            <w:rPr>
              <w:sz w:val="28"/>
              <w:szCs w:val="28"/>
            </w:rPr>
            <w:fldChar w:fldCharType="begin"/>
          </w:r>
          <w:r>
            <w:rPr>
              <w:sz w:val="28"/>
              <w:szCs w:val="28"/>
            </w:rPr>
            <w:instrText xml:space="preserve"> PAGEREF _Toc23597 </w:instrText>
          </w:r>
          <w:r>
            <w:rPr>
              <w:sz w:val="28"/>
              <w:szCs w:val="28"/>
            </w:rPr>
            <w:fldChar w:fldCharType="separate"/>
          </w:r>
          <w:r>
            <w:rPr>
              <w:sz w:val="28"/>
              <w:szCs w:val="28"/>
            </w:rPr>
            <w:t>- 12 -</w:t>
          </w:r>
          <w:r>
            <w:rPr>
              <w:sz w:val="28"/>
              <w:szCs w:val="28"/>
            </w:rPr>
            <w:fldChar w:fldCharType="end"/>
          </w:r>
          <w:r>
            <w:rPr>
              <w:sz w:val="28"/>
              <w:szCs w:val="28"/>
            </w:rPr>
            <w:fldChar w:fldCharType="end"/>
          </w:r>
        </w:p>
        <w:p>
          <w:pPr>
            <w:pStyle w:val="25"/>
            <w:tabs>
              <w:tab w:val="right" w:leader="dot" w:pos="9412"/>
            </w:tabs>
            <w:ind w:left="560"/>
            <w:rPr>
              <w:sz w:val="28"/>
              <w:szCs w:val="28"/>
            </w:rPr>
          </w:pPr>
          <w:r>
            <w:fldChar w:fldCharType="begin"/>
          </w:r>
          <w:r>
            <w:instrText xml:space="preserve"> HYPERLINK \l "_Toc21482" </w:instrText>
          </w:r>
          <w:r>
            <w:fldChar w:fldCharType="separate"/>
          </w:r>
          <w:r>
            <w:rPr>
              <w:rFonts w:hint="eastAsia" w:ascii="方正仿宋_GBK" w:eastAsia="方正仿宋_GBK"/>
              <w:sz w:val="28"/>
              <w:szCs w:val="28"/>
            </w:rPr>
            <w:t>三、谈判要求</w:t>
          </w:r>
          <w:r>
            <w:rPr>
              <w:sz w:val="28"/>
              <w:szCs w:val="28"/>
            </w:rPr>
            <w:tab/>
          </w:r>
          <w:r>
            <w:rPr>
              <w:sz w:val="28"/>
              <w:szCs w:val="28"/>
            </w:rPr>
            <w:fldChar w:fldCharType="begin"/>
          </w:r>
          <w:r>
            <w:rPr>
              <w:sz w:val="28"/>
              <w:szCs w:val="28"/>
            </w:rPr>
            <w:instrText xml:space="preserve"> PAGEREF _Toc21482 </w:instrText>
          </w:r>
          <w:r>
            <w:rPr>
              <w:sz w:val="28"/>
              <w:szCs w:val="28"/>
            </w:rPr>
            <w:fldChar w:fldCharType="separate"/>
          </w:r>
          <w:r>
            <w:rPr>
              <w:sz w:val="28"/>
              <w:szCs w:val="28"/>
            </w:rPr>
            <w:t>- 12 -</w:t>
          </w:r>
          <w:r>
            <w:rPr>
              <w:sz w:val="28"/>
              <w:szCs w:val="28"/>
            </w:rPr>
            <w:fldChar w:fldCharType="end"/>
          </w:r>
          <w:r>
            <w:rPr>
              <w:sz w:val="28"/>
              <w:szCs w:val="28"/>
            </w:rPr>
            <w:fldChar w:fldCharType="end"/>
          </w:r>
        </w:p>
        <w:p>
          <w:pPr>
            <w:pStyle w:val="25"/>
            <w:tabs>
              <w:tab w:val="right" w:leader="dot" w:pos="9412"/>
            </w:tabs>
            <w:ind w:left="560"/>
            <w:rPr>
              <w:sz w:val="28"/>
              <w:szCs w:val="28"/>
            </w:rPr>
          </w:pPr>
          <w:r>
            <w:fldChar w:fldCharType="begin"/>
          </w:r>
          <w:r>
            <w:instrText xml:space="preserve"> HYPERLINK \l "_Toc11348" </w:instrText>
          </w:r>
          <w:r>
            <w:fldChar w:fldCharType="separate"/>
          </w:r>
          <w:r>
            <w:rPr>
              <w:rFonts w:hint="eastAsia" w:ascii="方正仿宋_GBK" w:eastAsia="方正仿宋_GBK"/>
              <w:sz w:val="28"/>
              <w:szCs w:val="28"/>
            </w:rPr>
            <w:t>四、谈判程序</w:t>
          </w:r>
          <w:r>
            <w:rPr>
              <w:sz w:val="28"/>
              <w:szCs w:val="28"/>
            </w:rPr>
            <w:tab/>
          </w:r>
          <w:r>
            <w:rPr>
              <w:sz w:val="28"/>
              <w:szCs w:val="28"/>
            </w:rPr>
            <w:fldChar w:fldCharType="begin"/>
          </w:r>
          <w:r>
            <w:rPr>
              <w:sz w:val="28"/>
              <w:szCs w:val="28"/>
            </w:rPr>
            <w:instrText xml:space="preserve"> PAGEREF _Toc11348 </w:instrText>
          </w:r>
          <w:r>
            <w:rPr>
              <w:sz w:val="28"/>
              <w:szCs w:val="28"/>
            </w:rPr>
            <w:fldChar w:fldCharType="separate"/>
          </w:r>
          <w:r>
            <w:rPr>
              <w:sz w:val="28"/>
              <w:szCs w:val="28"/>
            </w:rPr>
            <w:t>- 14 -</w:t>
          </w:r>
          <w:r>
            <w:rPr>
              <w:sz w:val="28"/>
              <w:szCs w:val="28"/>
            </w:rPr>
            <w:fldChar w:fldCharType="end"/>
          </w:r>
          <w:r>
            <w:rPr>
              <w:sz w:val="28"/>
              <w:szCs w:val="28"/>
            </w:rPr>
            <w:fldChar w:fldCharType="end"/>
          </w:r>
        </w:p>
        <w:p>
          <w:pPr>
            <w:pStyle w:val="25"/>
            <w:tabs>
              <w:tab w:val="right" w:leader="dot" w:pos="9412"/>
            </w:tabs>
            <w:ind w:left="560"/>
            <w:rPr>
              <w:sz w:val="28"/>
              <w:szCs w:val="28"/>
            </w:rPr>
          </w:pPr>
          <w:r>
            <w:fldChar w:fldCharType="begin"/>
          </w:r>
          <w:r>
            <w:instrText xml:space="preserve"> HYPERLINK \l "_Toc17636" </w:instrText>
          </w:r>
          <w:r>
            <w:fldChar w:fldCharType="separate"/>
          </w:r>
          <w:r>
            <w:rPr>
              <w:rFonts w:hint="eastAsia" w:ascii="方正仿宋_GBK" w:eastAsia="方正仿宋_GBK"/>
              <w:sz w:val="28"/>
              <w:szCs w:val="28"/>
            </w:rPr>
            <w:t>五、评审依据</w:t>
          </w:r>
          <w:r>
            <w:rPr>
              <w:sz w:val="28"/>
              <w:szCs w:val="28"/>
            </w:rPr>
            <w:tab/>
          </w:r>
          <w:r>
            <w:rPr>
              <w:sz w:val="28"/>
              <w:szCs w:val="28"/>
            </w:rPr>
            <w:fldChar w:fldCharType="begin"/>
          </w:r>
          <w:r>
            <w:rPr>
              <w:sz w:val="28"/>
              <w:szCs w:val="28"/>
            </w:rPr>
            <w:instrText xml:space="preserve"> PAGEREF _Toc17636 </w:instrText>
          </w:r>
          <w:r>
            <w:rPr>
              <w:sz w:val="28"/>
              <w:szCs w:val="28"/>
            </w:rPr>
            <w:fldChar w:fldCharType="separate"/>
          </w:r>
          <w:r>
            <w:rPr>
              <w:sz w:val="28"/>
              <w:szCs w:val="28"/>
            </w:rPr>
            <w:t>- 16 -</w:t>
          </w:r>
          <w:r>
            <w:rPr>
              <w:sz w:val="28"/>
              <w:szCs w:val="28"/>
            </w:rPr>
            <w:fldChar w:fldCharType="end"/>
          </w:r>
          <w:r>
            <w:rPr>
              <w:sz w:val="28"/>
              <w:szCs w:val="28"/>
            </w:rPr>
            <w:fldChar w:fldCharType="end"/>
          </w:r>
        </w:p>
        <w:p>
          <w:pPr>
            <w:pStyle w:val="25"/>
            <w:tabs>
              <w:tab w:val="right" w:leader="dot" w:pos="9412"/>
            </w:tabs>
            <w:ind w:left="560"/>
            <w:rPr>
              <w:sz w:val="28"/>
              <w:szCs w:val="28"/>
            </w:rPr>
          </w:pPr>
          <w:r>
            <w:fldChar w:fldCharType="begin"/>
          </w:r>
          <w:r>
            <w:instrText xml:space="preserve"> HYPERLINK \l "_Toc13240" </w:instrText>
          </w:r>
          <w:r>
            <w:fldChar w:fldCharType="separate"/>
          </w:r>
          <w:r>
            <w:rPr>
              <w:rFonts w:hint="eastAsia" w:ascii="方正仿宋_GBK" w:eastAsia="方正仿宋_GBK"/>
              <w:sz w:val="28"/>
              <w:szCs w:val="28"/>
            </w:rPr>
            <w:t>六、成交原则</w:t>
          </w:r>
          <w:r>
            <w:rPr>
              <w:sz w:val="28"/>
              <w:szCs w:val="28"/>
            </w:rPr>
            <w:tab/>
          </w:r>
          <w:r>
            <w:rPr>
              <w:sz w:val="28"/>
              <w:szCs w:val="28"/>
            </w:rPr>
            <w:fldChar w:fldCharType="begin"/>
          </w:r>
          <w:r>
            <w:rPr>
              <w:sz w:val="28"/>
              <w:szCs w:val="28"/>
            </w:rPr>
            <w:instrText xml:space="preserve"> PAGEREF _Toc13240 </w:instrText>
          </w:r>
          <w:r>
            <w:rPr>
              <w:sz w:val="28"/>
              <w:szCs w:val="28"/>
            </w:rPr>
            <w:fldChar w:fldCharType="separate"/>
          </w:r>
          <w:r>
            <w:rPr>
              <w:sz w:val="28"/>
              <w:szCs w:val="28"/>
            </w:rPr>
            <w:t>- 16 -</w:t>
          </w:r>
          <w:r>
            <w:rPr>
              <w:sz w:val="28"/>
              <w:szCs w:val="28"/>
            </w:rPr>
            <w:fldChar w:fldCharType="end"/>
          </w:r>
          <w:r>
            <w:rPr>
              <w:sz w:val="28"/>
              <w:szCs w:val="28"/>
            </w:rPr>
            <w:fldChar w:fldCharType="end"/>
          </w:r>
        </w:p>
        <w:p>
          <w:pPr>
            <w:pStyle w:val="25"/>
            <w:tabs>
              <w:tab w:val="right" w:leader="dot" w:pos="9412"/>
            </w:tabs>
            <w:ind w:left="560"/>
            <w:rPr>
              <w:sz w:val="28"/>
              <w:szCs w:val="28"/>
            </w:rPr>
          </w:pPr>
          <w:r>
            <w:fldChar w:fldCharType="begin"/>
          </w:r>
          <w:r>
            <w:instrText xml:space="preserve"> HYPERLINK \l "_Toc9184" </w:instrText>
          </w:r>
          <w:r>
            <w:fldChar w:fldCharType="separate"/>
          </w:r>
          <w:r>
            <w:rPr>
              <w:rFonts w:hint="eastAsia" w:ascii="方正仿宋_GBK" w:eastAsia="方正仿宋_GBK"/>
              <w:sz w:val="28"/>
              <w:szCs w:val="28"/>
            </w:rPr>
            <w:t>七、成交通知</w:t>
          </w:r>
          <w:r>
            <w:rPr>
              <w:sz w:val="28"/>
              <w:szCs w:val="28"/>
            </w:rPr>
            <w:tab/>
          </w:r>
          <w:r>
            <w:rPr>
              <w:sz w:val="28"/>
              <w:szCs w:val="28"/>
            </w:rPr>
            <w:fldChar w:fldCharType="begin"/>
          </w:r>
          <w:r>
            <w:rPr>
              <w:sz w:val="28"/>
              <w:szCs w:val="28"/>
            </w:rPr>
            <w:instrText xml:space="preserve"> PAGEREF _Toc9184 </w:instrText>
          </w:r>
          <w:r>
            <w:rPr>
              <w:sz w:val="28"/>
              <w:szCs w:val="28"/>
            </w:rPr>
            <w:fldChar w:fldCharType="separate"/>
          </w:r>
          <w:r>
            <w:rPr>
              <w:sz w:val="28"/>
              <w:szCs w:val="28"/>
            </w:rPr>
            <w:t>- 18 -</w:t>
          </w:r>
          <w:r>
            <w:rPr>
              <w:sz w:val="28"/>
              <w:szCs w:val="28"/>
            </w:rPr>
            <w:fldChar w:fldCharType="end"/>
          </w:r>
          <w:r>
            <w:rPr>
              <w:sz w:val="28"/>
              <w:szCs w:val="28"/>
            </w:rPr>
            <w:fldChar w:fldCharType="end"/>
          </w:r>
        </w:p>
        <w:p>
          <w:pPr>
            <w:pStyle w:val="25"/>
            <w:tabs>
              <w:tab w:val="right" w:leader="dot" w:pos="9412"/>
            </w:tabs>
            <w:ind w:left="560"/>
            <w:rPr>
              <w:sz w:val="28"/>
              <w:szCs w:val="28"/>
            </w:rPr>
          </w:pPr>
          <w:r>
            <w:fldChar w:fldCharType="begin"/>
          </w:r>
          <w:r>
            <w:instrText xml:space="preserve"> HYPERLINK \l "_Toc10987" </w:instrText>
          </w:r>
          <w:r>
            <w:fldChar w:fldCharType="separate"/>
          </w:r>
          <w:r>
            <w:rPr>
              <w:rFonts w:hint="eastAsia" w:ascii="方正仿宋_GBK" w:eastAsia="方正仿宋_GBK"/>
              <w:sz w:val="28"/>
              <w:szCs w:val="28"/>
            </w:rPr>
            <w:t>八、关于质疑和投诉</w:t>
          </w:r>
          <w:r>
            <w:rPr>
              <w:sz w:val="28"/>
              <w:szCs w:val="28"/>
            </w:rPr>
            <w:tab/>
          </w:r>
          <w:r>
            <w:rPr>
              <w:sz w:val="28"/>
              <w:szCs w:val="28"/>
            </w:rPr>
            <w:fldChar w:fldCharType="begin"/>
          </w:r>
          <w:r>
            <w:rPr>
              <w:sz w:val="28"/>
              <w:szCs w:val="28"/>
            </w:rPr>
            <w:instrText xml:space="preserve"> PAGEREF _Toc10987 </w:instrText>
          </w:r>
          <w:r>
            <w:rPr>
              <w:sz w:val="28"/>
              <w:szCs w:val="28"/>
            </w:rPr>
            <w:fldChar w:fldCharType="separate"/>
          </w:r>
          <w:r>
            <w:rPr>
              <w:sz w:val="28"/>
              <w:szCs w:val="28"/>
            </w:rPr>
            <w:t>- 18 -</w:t>
          </w:r>
          <w:r>
            <w:rPr>
              <w:sz w:val="28"/>
              <w:szCs w:val="28"/>
            </w:rPr>
            <w:fldChar w:fldCharType="end"/>
          </w:r>
          <w:r>
            <w:rPr>
              <w:sz w:val="28"/>
              <w:szCs w:val="28"/>
            </w:rPr>
            <w:fldChar w:fldCharType="end"/>
          </w:r>
        </w:p>
        <w:p>
          <w:pPr>
            <w:pStyle w:val="25"/>
            <w:tabs>
              <w:tab w:val="right" w:leader="dot" w:pos="9412"/>
            </w:tabs>
            <w:ind w:left="560"/>
            <w:rPr>
              <w:sz w:val="28"/>
              <w:szCs w:val="28"/>
            </w:rPr>
          </w:pPr>
          <w:r>
            <w:fldChar w:fldCharType="begin"/>
          </w:r>
          <w:r>
            <w:instrText xml:space="preserve"> HYPERLINK \l "_Toc9972" </w:instrText>
          </w:r>
          <w:r>
            <w:fldChar w:fldCharType="separate"/>
          </w:r>
          <w:r>
            <w:rPr>
              <w:rFonts w:hint="eastAsia" w:ascii="方正仿宋_GBK" w:eastAsia="方正仿宋_GBK"/>
              <w:sz w:val="28"/>
              <w:szCs w:val="28"/>
            </w:rPr>
            <w:t>九、签订合同</w:t>
          </w:r>
          <w:r>
            <w:rPr>
              <w:sz w:val="28"/>
              <w:szCs w:val="28"/>
            </w:rPr>
            <w:tab/>
          </w:r>
          <w:r>
            <w:rPr>
              <w:sz w:val="28"/>
              <w:szCs w:val="28"/>
            </w:rPr>
            <w:fldChar w:fldCharType="begin"/>
          </w:r>
          <w:r>
            <w:rPr>
              <w:sz w:val="28"/>
              <w:szCs w:val="28"/>
            </w:rPr>
            <w:instrText xml:space="preserve"> PAGEREF _Toc9972 </w:instrText>
          </w:r>
          <w:r>
            <w:rPr>
              <w:sz w:val="28"/>
              <w:szCs w:val="28"/>
            </w:rPr>
            <w:fldChar w:fldCharType="separate"/>
          </w:r>
          <w:r>
            <w:rPr>
              <w:sz w:val="28"/>
              <w:szCs w:val="28"/>
            </w:rPr>
            <w:t>- 19 -</w:t>
          </w:r>
          <w:r>
            <w:rPr>
              <w:sz w:val="28"/>
              <w:szCs w:val="28"/>
            </w:rPr>
            <w:fldChar w:fldCharType="end"/>
          </w:r>
          <w:r>
            <w:rPr>
              <w:sz w:val="28"/>
              <w:szCs w:val="28"/>
            </w:rPr>
            <w:fldChar w:fldCharType="end"/>
          </w:r>
        </w:p>
        <w:p>
          <w:pPr>
            <w:pStyle w:val="25"/>
            <w:tabs>
              <w:tab w:val="right" w:leader="dot" w:pos="9412"/>
            </w:tabs>
            <w:ind w:left="560"/>
            <w:rPr>
              <w:sz w:val="28"/>
              <w:szCs w:val="28"/>
            </w:rPr>
          </w:pPr>
          <w:r>
            <w:fldChar w:fldCharType="begin"/>
          </w:r>
          <w:r>
            <w:instrText xml:space="preserve"> HYPERLINK \l "_Toc30797" </w:instrText>
          </w:r>
          <w:r>
            <w:fldChar w:fldCharType="separate"/>
          </w:r>
          <w:r>
            <w:rPr>
              <w:rFonts w:hint="eastAsia" w:ascii="方正小标宋_GBK" w:hAnsi="宋体" w:eastAsia="方正小标宋_GBK"/>
              <w:sz w:val="28"/>
              <w:szCs w:val="28"/>
            </w:rPr>
            <w:t>第五篇  合同草案条款</w:t>
          </w:r>
          <w:r>
            <w:rPr>
              <w:sz w:val="28"/>
              <w:szCs w:val="28"/>
            </w:rPr>
            <w:tab/>
          </w:r>
          <w:r>
            <w:rPr>
              <w:sz w:val="28"/>
              <w:szCs w:val="28"/>
            </w:rPr>
            <w:fldChar w:fldCharType="begin"/>
          </w:r>
          <w:r>
            <w:rPr>
              <w:sz w:val="28"/>
              <w:szCs w:val="28"/>
            </w:rPr>
            <w:instrText xml:space="preserve"> PAGEREF _Toc30797 </w:instrText>
          </w:r>
          <w:r>
            <w:rPr>
              <w:sz w:val="28"/>
              <w:szCs w:val="28"/>
            </w:rPr>
            <w:fldChar w:fldCharType="separate"/>
          </w:r>
          <w:r>
            <w:rPr>
              <w:sz w:val="28"/>
              <w:szCs w:val="28"/>
            </w:rPr>
            <w:t>- 20 -</w:t>
          </w:r>
          <w:r>
            <w:rPr>
              <w:sz w:val="28"/>
              <w:szCs w:val="28"/>
            </w:rPr>
            <w:fldChar w:fldCharType="end"/>
          </w:r>
          <w:r>
            <w:rPr>
              <w:sz w:val="28"/>
              <w:szCs w:val="28"/>
            </w:rPr>
            <w:fldChar w:fldCharType="end"/>
          </w:r>
        </w:p>
        <w:p>
          <w:pPr>
            <w:pStyle w:val="24"/>
            <w:tabs>
              <w:tab w:val="right" w:leader="dot" w:pos="9412"/>
            </w:tabs>
            <w:ind w:firstLine="400" w:firstLineChars="200"/>
            <w:rPr>
              <w:sz w:val="28"/>
              <w:szCs w:val="28"/>
            </w:rPr>
          </w:pPr>
          <w:r>
            <w:fldChar w:fldCharType="begin"/>
          </w:r>
          <w:r>
            <w:instrText xml:space="preserve"> HYPERLINK \l "_Toc2327" </w:instrText>
          </w:r>
          <w:r>
            <w:fldChar w:fldCharType="separate"/>
          </w:r>
          <w:r>
            <w:rPr>
              <w:rFonts w:hint="eastAsia" w:ascii="方正仿宋_GBK" w:hAnsi="宋体" w:eastAsia="方正仿宋_GBK"/>
              <w:sz w:val="28"/>
              <w:szCs w:val="28"/>
            </w:rPr>
            <w:t>一、定义</w:t>
          </w:r>
          <w:r>
            <w:rPr>
              <w:sz w:val="28"/>
              <w:szCs w:val="28"/>
            </w:rPr>
            <w:tab/>
          </w:r>
          <w:r>
            <w:rPr>
              <w:sz w:val="28"/>
              <w:szCs w:val="28"/>
            </w:rPr>
            <w:fldChar w:fldCharType="begin"/>
          </w:r>
          <w:r>
            <w:rPr>
              <w:sz w:val="28"/>
              <w:szCs w:val="28"/>
            </w:rPr>
            <w:instrText xml:space="preserve"> PAGEREF _Toc2327 </w:instrText>
          </w:r>
          <w:r>
            <w:rPr>
              <w:sz w:val="28"/>
              <w:szCs w:val="28"/>
            </w:rPr>
            <w:fldChar w:fldCharType="separate"/>
          </w:r>
          <w:r>
            <w:rPr>
              <w:sz w:val="28"/>
              <w:szCs w:val="28"/>
            </w:rPr>
            <w:t>- 20 -</w:t>
          </w:r>
          <w:r>
            <w:rPr>
              <w:sz w:val="28"/>
              <w:szCs w:val="28"/>
            </w:rPr>
            <w:fldChar w:fldCharType="end"/>
          </w:r>
          <w:r>
            <w:rPr>
              <w:sz w:val="28"/>
              <w:szCs w:val="28"/>
            </w:rPr>
            <w:fldChar w:fldCharType="end"/>
          </w:r>
        </w:p>
        <w:p>
          <w:pPr>
            <w:pStyle w:val="24"/>
            <w:tabs>
              <w:tab w:val="right" w:leader="dot" w:pos="9412"/>
            </w:tabs>
            <w:ind w:firstLine="400" w:firstLineChars="200"/>
            <w:rPr>
              <w:sz w:val="28"/>
              <w:szCs w:val="28"/>
            </w:rPr>
          </w:pPr>
          <w:r>
            <w:fldChar w:fldCharType="begin"/>
          </w:r>
          <w:r>
            <w:instrText xml:space="preserve"> HYPERLINK \l "_Toc21706" </w:instrText>
          </w:r>
          <w:r>
            <w:fldChar w:fldCharType="separate"/>
          </w:r>
          <w:r>
            <w:rPr>
              <w:rFonts w:hint="eastAsia" w:ascii="方正仿宋_GBK" w:hAnsi="宋体" w:eastAsia="方正仿宋_GBK"/>
              <w:sz w:val="28"/>
              <w:szCs w:val="28"/>
            </w:rPr>
            <w:t>二、货物内容</w:t>
          </w:r>
          <w:r>
            <w:rPr>
              <w:sz w:val="28"/>
              <w:szCs w:val="28"/>
            </w:rPr>
            <w:tab/>
          </w:r>
          <w:r>
            <w:rPr>
              <w:sz w:val="28"/>
              <w:szCs w:val="28"/>
            </w:rPr>
            <w:fldChar w:fldCharType="begin"/>
          </w:r>
          <w:r>
            <w:rPr>
              <w:sz w:val="28"/>
              <w:szCs w:val="28"/>
            </w:rPr>
            <w:instrText xml:space="preserve"> PAGEREF _Toc21706 </w:instrText>
          </w:r>
          <w:r>
            <w:rPr>
              <w:sz w:val="28"/>
              <w:szCs w:val="28"/>
            </w:rPr>
            <w:fldChar w:fldCharType="separate"/>
          </w:r>
          <w:r>
            <w:rPr>
              <w:sz w:val="28"/>
              <w:szCs w:val="28"/>
            </w:rPr>
            <w:t>- 20 -</w:t>
          </w:r>
          <w:r>
            <w:rPr>
              <w:sz w:val="28"/>
              <w:szCs w:val="28"/>
            </w:rPr>
            <w:fldChar w:fldCharType="end"/>
          </w:r>
          <w:r>
            <w:rPr>
              <w:sz w:val="28"/>
              <w:szCs w:val="28"/>
            </w:rPr>
            <w:fldChar w:fldCharType="end"/>
          </w:r>
        </w:p>
        <w:p>
          <w:pPr>
            <w:pStyle w:val="24"/>
            <w:tabs>
              <w:tab w:val="right" w:leader="dot" w:pos="9412"/>
            </w:tabs>
            <w:ind w:firstLine="400" w:firstLineChars="200"/>
            <w:rPr>
              <w:sz w:val="28"/>
              <w:szCs w:val="28"/>
            </w:rPr>
          </w:pPr>
          <w:r>
            <w:fldChar w:fldCharType="begin"/>
          </w:r>
          <w:r>
            <w:instrText xml:space="preserve"> HYPERLINK \l "_Toc31651" </w:instrText>
          </w:r>
          <w:r>
            <w:fldChar w:fldCharType="separate"/>
          </w:r>
          <w:r>
            <w:rPr>
              <w:rFonts w:hint="eastAsia" w:ascii="方正仿宋_GBK" w:hAnsi="宋体" w:eastAsia="方正仿宋_GBK"/>
              <w:sz w:val="28"/>
              <w:szCs w:val="28"/>
            </w:rPr>
            <w:t>三、合同价格</w:t>
          </w:r>
          <w:r>
            <w:rPr>
              <w:sz w:val="28"/>
              <w:szCs w:val="28"/>
            </w:rPr>
            <w:tab/>
          </w:r>
          <w:r>
            <w:rPr>
              <w:sz w:val="28"/>
              <w:szCs w:val="28"/>
            </w:rPr>
            <w:fldChar w:fldCharType="begin"/>
          </w:r>
          <w:r>
            <w:rPr>
              <w:sz w:val="28"/>
              <w:szCs w:val="28"/>
            </w:rPr>
            <w:instrText xml:space="preserve"> PAGEREF _Toc31651 </w:instrText>
          </w:r>
          <w:r>
            <w:rPr>
              <w:sz w:val="28"/>
              <w:szCs w:val="28"/>
            </w:rPr>
            <w:fldChar w:fldCharType="separate"/>
          </w:r>
          <w:r>
            <w:rPr>
              <w:sz w:val="28"/>
              <w:szCs w:val="28"/>
            </w:rPr>
            <w:t>- 20 -</w:t>
          </w:r>
          <w:r>
            <w:rPr>
              <w:sz w:val="28"/>
              <w:szCs w:val="28"/>
            </w:rPr>
            <w:fldChar w:fldCharType="end"/>
          </w:r>
          <w:r>
            <w:rPr>
              <w:sz w:val="28"/>
              <w:szCs w:val="28"/>
            </w:rPr>
            <w:fldChar w:fldCharType="end"/>
          </w:r>
        </w:p>
        <w:p>
          <w:pPr>
            <w:pStyle w:val="24"/>
            <w:tabs>
              <w:tab w:val="right" w:leader="dot" w:pos="9412"/>
            </w:tabs>
            <w:ind w:firstLine="400" w:firstLineChars="200"/>
            <w:rPr>
              <w:sz w:val="28"/>
              <w:szCs w:val="28"/>
            </w:rPr>
          </w:pPr>
          <w:r>
            <w:fldChar w:fldCharType="begin"/>
          </w:r>
          <w:r>
            <w:instrText xml:space="preserve"> HYPERLINK \l "_Toc7632" </w:instrText>
          </w:r>
          <w:r>
            <w:fldChar w:fldCharType="separate"/>
          </w:r>
          <w:r>
            <w:rPr>
              <w:rFonts w:hint="eastAsia" w:ascii="方正仿宋_GBK" w:hAnsi="宋体" w:eastAsia="方正仿宋_GBK"/>
              <w:sz w:val="28"/>
              <w:szCs w:val="28"/>
            </w:rPr>
            <w:t>四、转包或分包</w:t>
          </w:r>
          <w:r>
            <w:rPr>
              <w:sz w:val="28"/>
              <w:szCs w:val="28"/>
            </w:rPr>
            <w:tab/>
          </w:r>
          <w:r>
            <w:rPr>
              <w:sz w:val="28"/>
              <w:szCs w:val="28"/>
            </w:rPr>
            <w:fldChar w:fldCharType="begin"/>
          </w:r>
          <w:r>
            <w:rPr>
              <w:sz w:val="28"/>
              <w:szCs w:val="28"/>
            </w:rPr>
            <w:instrText xml:space="preserve"> PAGEREF _Toc7632 </w:instrText>
          </w:r>
          <w:r>
            <w:rPr>
              <w:sz w:val="28"/>
              <w:szCs w:val="28"/>
            </w:rPr>
            <w:fldChar w:fldCharType="separate"/>
          </w:r>
          <w:r>
            <w:rPr>
              <w:sz w:val="28"/>
              <w:szCs w:val="28"/>
            </w:rPr>
            <w:t>- 20 -</w:t>
          </w:r>
          <w:r>
            <w:rPr>
              <w:sz w:val="28"/>
              <w:szCs w:val="28"/>
            </w:rPr>
            <w:fldChar w:fldCharType="end"/>
          </w:r>
          <w:r>
            <w:rPr>
              <w:sz w:val="28"/>
              <w:szCs w:val="28"/>
            </w:rPr>
            <w:fldChar w:fldCharType="end"/>
          </w:r>
        </w:p>
        <w:p>
          <w:pPr>
            <w:pStyle w:val="24"/>
            <w:tabs>
              <w:tab w:val="right" w:leader="dot" w:pos="9412"/>
            </w:tabs>
            <w:ind w:firstLine="400" w:firstLineChars="200"/>
            <w:rPr>
              <w:sz w:val="28"/>
              <w:szCs w:val="28"/>
            </w:rPr>
          </w:pPr>
          <w:r>
            <w:fldChar w:fldCharType="begin"/>
          </w:r>
          <w:r>
            <w:instrText xml:space="preserve"> HYPERLINK \l "_Toc32472" </w:instrText>
          </w:r>
          <w:r>
            <w:fldChar w:fldCharType="separate"/>
          </w:r>
          <w:r>
            <w:rPr>
              <w:rFonts w:hint="eastAsia" w:ascii="方正仿宋_GBK" w:hAnsi="宋体" w:eastAsia="方正仿宋_GBK"/>
              <w:sz w:val="28"/>
              <w:szCs w:val="28"/>
            </w:rPr>
            <w:t>五、质量保证及售后服务</w:t>
          </w:r>
          <w:r>
            <w:rPr>
              <w:sz w:val="28"/>
              <w:szCs w:val="28"/>
            </w:rPr>
            <w:tab/>
          </w:r>
          <w:r>
            <w:rPr>
              <w:sz w:val="28"/>
              <w:szCs w:val="28"/>
            </w:rPr>
            <w:fldChar w:fldCharType="begin"/>
          </w:r>
          <w:r>
            <w:rPr>
              <w:sz w:val="28"/>
              <w:szCs w:val="28"/>
            </w:rPr>
            <w:instrText xml:space="preserve"> PAGEREF _Toc32472 </w:instrText>
          </w:r>
          <w:r>
            <w:rPr>
              <w:sz w:val="28"/>
              <w:szCs w:val="28"/>
            </w:rPr>
            <w:fldChar w:fldCharType="separate"/>
          </w:r>
          <w:r>
            <w:rPr>
              <w:sz w:val="28"/>
              <w:szCs w:val="28"/>
            </w:rPr>
            <w:t>- 20 -</w:t>
          </w:r>
          <w:r>
            <w:rPr>
              <w:sz w:val="28"/>
              <w:szCs w:val="28"/>
            </w:rPr>
            <w:fldChar w:fldCharType="end"/>
          </w:r>
          <w:r>
            <w:rPr>
              <w:sz w:val="28"/>
              <w:szCs w:val="28"/>
            </w:rPr>
            <w:fldChar w:fldCharType="end"/>
          </w:r>
        </w:p>
        <w:p>
          <w:pPr>
            <w:pStyle w:val="24"/>
            <w:tabs>
              <w:tab w:val="right" w:leader="dot" w:pos="9412"/>
            </w:tabs>
            <w:ind w:firstLine="400" w:firstLineChars="200"/>
            <w:rPr>
              <w:sz w:val="28"/>
              <w:szCs w:val="28"/>
            </w:rPr>
          </w:pPr>
          <w:r>
            <w:fldChar w:fldCharType="begin"/>
          </w:r>
          <w:r>
            <w:instrText xml:space="preserve"> HYPERLINK \l "_Toc25156" </w:instrText>
          </w:r>
          <w:r>
            <w:fldChar w:fldCharType="separate"/>
          </w:r>
          <w:r>
            <w:rPr>
              <w:rFonts w:hint="eastAsia" w:ascii="方正仿宋_GBK" w:hAnsi="宋体" w:eastAsia="方正仿宋_GBK"/>
              <w:sz w:val="28"/>
              <w:szCs w:val="28"/>
            </w:rPr>
            <w:t>六、付款</w:t>
          </w:r>
          <w:r>
            <w:rPr>
              <w:sz w:val="28"/>
              <w:szCs w:val="28"/>
            </w:rPr>
            <w:tab/>
          </w:r>
          <w:r>
            <w:rPr>
              <w:sz w:val="28"/>
              <w:szCs w:val="28"/>
            </w:rPr>
            <w:fldChar w:fldCharType="begin"/>
          </w:r>
          <w:r>
            <w:rPr>
              <w:sz w:val="28"/>
              <w:szCs w:val="28"/>
            </w:rPr>
            <w:instrText xml:space="preserve"> PAGEREF _Toc25156 </w:instrText>
          </w:r>
          <w:r>
            <w:rPr>
              <w:sz w:val="28"/>
              <w:szCs w:val="28"/>
            </w:rPr>
            <w:fldChar w:fldCharType="separate"/>
          </w:r>
          <w:r>
            <w:rPr>
              <w:sz w:val="28"/>
              <w:szCs w:val="28"/>
            </w:rPr>
            <w:t>- 21 -</w:t>
          </w:r>
          <w:r>
            <w:rPr>
              <w:sz w:val="28"/>
              <w:szCs w:val="28"/>
            </w:rPr>
            <w:fldChar w:fldCharType="end"/>
          </w:r>
          <w:r>
            <w:rPr>
              <w:sz w:val="28"/>
              <w:szCs w:val="28"/>
            </w:rPr>
            <w:fldChar w:fldCharType="end"/>
          </w:r>
        </w:p>
        <w:p>
          <w:pPr>
            <w:pStyle w:val="24"/>
            <w:tabs>
              <w:tab w:val="right" w:leader="dot" w:pos="9412"/>
            </w:tabs>
            <w:ind w:firstLine="400" w:firstLineChars="200"/>
            <w:rPr>
              <w:sz w:val="28"/>
              <w:szCs w:val="28"/>
            </w:rPr>
          </w:pPr>
          <w:r>
            <w:fldChar w:fldCharType="begin"/>
          </w:r>
          <w:r>
            <w:instrText xml:space="preserve"> HYPERLINK \l "_Toc14021" </w:instrText>
          </w:r>
          <w:r>
            <w:fldChar w:fldCharType="separate"/>
          </w:r>
          <w:r>
            <w:rPr>
              <w:rFonts w:hint="eastAsia" w:ascii="方正仿宋_GBK" w:hAnsi="宋体" w:eastAsia="方正仿宋_GBK"/>
              <w:sz w:val="28"/>
              <w:szCs w:val="28"/>
            </w:rPr>
            <w:t>七、检查验收</w:t>
          </w:r>
          <w:r>
            <w:rPr>
              <w:sz w:val="28"/>
              <w:szCs w:val="28"/>
            </w:rPr>
            <w:tab/>
          </w:r>
          <w:r>
            <w:rPr>
              <w:sz w:val="28"/>
              <w:szCs w:val="28"/>
            </w:rPr>
            <w:fldChar w:fldCharType="begin"/>
          </w:r>
          <w:r>
            <w:rPr>
              <w:sz w:val="28"/>
              <w:szCs w:val="28"/>
            </w:rPr>
            <w:instrText xml:space="preserve"> PAGEREF _Toc14021 </w:instrText>
          </w:r>
          <w:r>
            <w:rPr>
              <w:sz w:val="28"/>
              <w:szCs w:val="28"/>
            </w:rPr>
            <w:fldChar w:fldCharType="separate"/>
          </w:r>
          <w:r>
            <w:rPr>
              <w:sz w:val="28"/>
              <w:szCs w:val="28"/>
            </w:rPr>
            <w:t>- 21 -</w:t>
          </w:r>
          <w:r>
            <w:rPr>
              <w:sz w:val="28"/>
              <w:szCs w:val="28"/>
            </w:rPr>
            <w:fldChar w:fldCharType="end"/>
          </w:r>
          <w:r>
            <w:rPr>
              <w:sz w:val="28"/>
              <w:szCs w:val="28"/>
            </w:rPr>
            <w:fldChar w:fldCharType="end"/>
          </w:r>
        </w:p>
        <w:p>
          <w:pPr>
            <w:pStyle w:val="24"/>
            <w:tabs>
              <w:tab w:val="right" w:leader="dot" w:pos="9412"/>
            </w:tabs>
            <w:ind w:firstLine="400" w:firstLineChars="200"/>
            <w:rPr>
              <w:sz w:val="28"/>
              <w:szCs w:val="28"/>
            </w:rPr>
          </w:pPr>
          <w:r>
            <w:fldChar w:fldCharType="begin"/>
          </w:r>
          <w:r>
            <w:instrText xml:space="preserve"> HYPERLINK \l "_Toc16444" </w:instrText>
          </w:r>
          <w:r>
            <w:fldChar w:fldCharType="separate"/>
          </w:r>
          <w:r>
            <w:rPr>
              <w:rFonts w:hint="eastAsia" w:ascii="方正仿宋_GBK" w:hAnsi="宋体" w:eastAsia="方正仿宋_GBK"/>
              <w:sz w:val="28"/>
              <w:szCs w:val="28"/>
            </w:rPr>
            <w:t>八、索赔</w:t>
          </w:r>
          <w:r>
            <w:rPr>
              <w:sz w:val="28"/>
              <w:szCs w:val="28"/>
            </w:rPr>
            <w:tab/>
          </w:r>
          <w:r>
            <w:rPr>
              <w:sz w:val="28"/>
              <w:szCs w:val="28"/>
            </w:rPr>
            <w:fldChar w:fldCharType="begin"/>
          </w:r>
          <w:r>
            <w:rPr>
              <w:sz w:val="28"/>
              <w:szCs w:val="28"/>
            </w:rPr>
            <w:instrText xml:space="preserve"> PAGEREF _Toc16444 </w:instrText>
          </w:r>
          <w:r>
            <w:rPr>
              <w:sz w:val="28"/>
              <w:szCs w:val="28"/>
            </w:rPr>
            <w:fldChar w:fldCharType="separate"/>
          </w:r>
          <w:r>
            <w:rPr>
              <w:sz w:val="28"/>
              <w:szCs w:val="28"/>
            </w:rPr>
            <w:t>- 21 -</w:t>
          </w:r>
          <w:r>
            <w:rPr>
              <w:sz w:val="28"/>
              <w:szCs w:val="28"/>
            </w:rPr>
            <w:fldChar w:fldCharType="end"/>
          </w:r>
          <w:r>
            <w:rPr>
              <w:sz w:val="28"/>
              <w:szCs w:val="28"/>
            </w:rPr>
            <w:fldChar w:fldCharType="end"/>
          </w:r>
        </w:p>
        <w:p>
          <w:pPr>
            <w:pStyle w:val="24"/>
            <w:tabs>
              <w:tab w:val="right" w:leader="dot" w:pos="9412"/>
            </w:tabs>
            <w:ind w:firstLine="560" w:firstLineChars="200"/>
            <w:rPr>
              <w:rFonts w:ascii="方正仿宋_GBK" w:hAnsi="宋体" w:eastAsia="方正仿宋_GBK"/>
              <w:sz w:val="28"/>
              <w:szCs w:val="28"/>
            </w:rPr>
          </w:pPr>
          <w:r>
            <w:rPr>
              <w:rFonts w:ascii="方正仿宋_GBK" w:eastAsia="方正仿宋_GBK"/>
              <w:sz w:val="28"/>
              <w:szCs w:val="28"/>
            </w:rPr>
            <w:fldChar w:fldCharType="begin"/>
          </w:r>
          <w:r>
            <w:rPr>
              <w:rFonts w:ascii="方正仿宋_GBK" w:eastAsia="方正仿宋_GBK"/>
              <w:sz w:val="28"/>
              <w:szCs w:val="28"/>
            </w:rPr>
            <w:instrText xml:space="preserve"> HYPERLINK \l _Toc5457 </w:instrText>
          </w:r>
          <w:r>
            <w:rPr>
              <w:rFonts w:ascii="方正仿宋_GBK" w:eastAsia="方正仿宋_GBK"/>
              <w:sz w:val="28"/>
              <w:szCs w:val="28"/>
            </w:rPr>
            <w:fldChar w:fldCharType="separate"/>
          </w:r>
          <w:r>
            <w:rPr>
              <w:rFonts w:hint="eastAsia" w:ascii="方正仿宋_GBK" w:hAnsi="宋体" w:eastAsia="方正仿宋_GBK"/>
              <w:sz w:val="28"/>
              <w:szCs w:val="28"/>
            </w:rPr>
            <w:t>九、知识产权</w:t>
          </w:r>
          <w:r>
            <w:rPr>
              <w:sz w:val="28"/>
              <w:szCs w:val="28"/>
            </w:rPr>
            <w:tab/>
          </w:r>
          <w:r>
            <w:rPr>
              <w:sz w:val="28"/>
              <w:szCs w:val="28"/>
            </w:rPr>
            <w:fldChar w:fldCharType="begin"/>
          </w:r>
          <w:r>
            <w:rPr>
              <w:sz w:val="28"/>
              <w:szCs w:val="28"/>
            </w:rPr>
            <w:instrText xml:space="preserve"> PAGEREF _Toc16444 </w:instrText>
          </w:r>
          <w:r>
            <w:rPr>
              <w:sz w:val="28"/>
              <w:szCs w:val="28"/>
            </w:rPr>
            <w:fldChar w:fldCharType="separate"/>
          </w:r>
          <w:r>
            <w:rPr>
              <w:sz w:val="28"/>
              <w:szCs w:val="28"/>
            </w:rPr>
            <w:t>- 21 -</w:t>
          </w:r>
          <w:r>
            <w:rPr>
              <w:sz w:val="28"/>
              <w:szCs w:val="28"/>
            </w:rPr>
            <w:fldChar w:fldCharType="end"/>
          </w:r>
        </w:p>
        <w:p>
          <w:pPr>
            <w:pStyle w:val="24"/>
            <w:tabs>
              <w:tab w:val="right" w:leader="dot" w:pos="9412"/>
            </w:tabs>
            <w:ind w:firstLine="560" w:firstLineChars="200"/>
            <w:rPr>
              <w:sz w:val="28"/>
              <w:szCs w:val="28"/>
            </w:rPr>
          </w:pPr>
          <w:r>
            <w:rPr>
              <w:rFonts w:hint="eastAsia" w:ascii="方正仿宋_GBK" w:hAnsi="宋体" w:eastAsia="方正仿宋_GBK"/>
              <w:sz w:val="28"/>
              <w:szCs w:val="28"/>
            </w:rPr>
            <w:t>十、合同争议的解决</w:t>
          </w:r>
          <w:r>
            <w:rPr>
              <w:sz w:val="28"/>
              <w:szCs w:val="28"/>
            </w:rPr>
            <w:tab/>
          </w:r>
          <w:r>
            <w:rPr>
              <w:sz w:val="28"/>
              <w:szCs w:val="28"/>
            </w:rPr>
            <w:fldChar w:fldCharType="begin"/>
          </w:r>
          <w:r>
            <w:rPr>
              <w:sz w:val="28"/>
              <w:szCs w:val="28"/>
            </w:rPr>
            <w:instrText xml:space="preserve"> PAGEREF _Toc5457 </w:instrText>
          </w:r>
          <w:r>
            <w:rPr>
              <w:sz w:val="28"/>
              <w:szCs w:val="28"/>
            </w:rPr>
            <w:fldChar w:fldCharType="separate"/>
          </w:r>
          <w:r>
            <w:rPr>
              <w:sz w:val="28"/>
              <w:szCs w:val="28"/>
            </w:rPr>
            <w:t>- 21 -</w:t>
          </w:r>
          <w:r>
            <w:rPr>
              <w:sz w:val="28"/>
              <w:szCs w:val="28"/>
            </w:rPr>
            <w:fldChar w:fldCharType="end"/>
          </w:r>
          <w:r>
            <w:rPr>
              <w:rFonts w:ascii="方正仿宋_GBK" w:eastAsia="方正仿宋_GBK"/>
              <w:sz w:val="28"/>
              <w:szCs w:val="28"/>
            </w:rPr>
            <w:fldChar w:fldCharType="end"/>
          </w:r>
        </w:p>
        <w:p>
          <w:pPr>
            <w:pStyle w:val="24"/>
            <w:tabs>
              <w:tab w:val="right" w:leader="dot" w:pos="9412"/>
            </w:tabs>
            <w:ind w:firstLine="400" w:firstLineChars="200"/>
            <w:rPr>
              <w:sz w:val="28"/>
              <w:szCs w:val="28"/>
            </w:rPr>
          </w:pPr>
          <w:r>
            <w:fldChar w:fldCharType="begin"/>
          </w:r>
          <w:r>
            <w:instrText xml:space="preserve"> HYPERLINK \l "_Toc23192" </w:instrText>
          </w:r>
          <w:r>
            <w:fldChar w:fldCharType="separate"/>
          </w:r>
          <w:r>
            <w:rPr>
              <w:rFonts w:hint="eastAsia" w:ascii="方正仿宋_GBK" w:hAnsi="宋体" w:eastAsia="方正仿宋_GBK"/>
              <w:sz w:val="28"/>
              <w:szCs w:val="28"/>
            </w:rPr>
            <w:t>十一、违约责任</w:t>
          </w:r>
          <w:r>
            <w:rPr>
              <w:sz w:val="28"/>
              <w:szCs w:val="28"/>
            </w:rPr>
            <w:tab/>
          </w:r>
          <w:r>
            <w:rPr>
              <w:sz w:val="28"/>
              <w:szCs w:val="28"/>
            </w:rPr>
            <w:fldChar w:fldCharType="begin"/>
          </w:r>
          <w:r>
            <w:rPr>
              <w:sz w:val="28"/>
              <w:szCs w:val="28"/>
            </w:rPr>
            <w:instrText xml:space="preserve"> PAGEREF _Toc23192 </w:instrText>
          </w:r>
          <w:r>
            <w:rPr>
              <w:sz w:val="28"/>
              <w:szCs w:val="28"/>
            </w:rPr>
            <w:fldChar w:fldCharType="separate"/>
          </w:r>
          <w:r>
            <w:rPr>
              <w:sz w:val="28"/>
              <w:szCs w:val="28"/>
            </w:rPr>
            <w:t>- 21 -</w:t>
          </w:r>
          <w:r>
            <w:rPr>
              <w:sz w:val="28"/>
              <w:szCs w:val="28"/>
            </w:rPr>
            <w:fldChar w:fldCharType="end"/>
          </w:r>
          <w:r>
            <w:rPr>
              <w:sz w:val="28"/>
              <w:szCs w:val="28"/>
            </w:rPr>
            <w:fldChar w:fldCharType="end"/>
          </w:r>
        </w:p>
        <w:p>
          <w:pPr>
            <w:pStyle w:val="24"/>
            <w:tabs>
              <w:tab w:val="right" w:leader="dot" w:pos="9412"/>
            </w:tabs>
            <w:ind w:firstLine="400" w:firstLineChars="200"/>
            <w:rPr>
              <w:sz w:val="28"/>
              <w:szCs w:val="28"/>
            </w:rPr>
          </w:pPr>
          <w:r>
            <w:fldChar w:fldCharType="begin"/>
          </w:r>
          <w:r>
            <w:instrText xml:space="preserve"> HYPERLINK \l "_Toc15570" </w:instrText>
          </w:r>
          <w:r>
            <w:fldChar w:fldCharType="separate"/>
          </w:r>
          <w:r>
            <w:rPr>
              <w:rFonts w:hint="eastAsia" w:ascii="方正仿宋_GBK" w:hAnsi="宋体" w:eastAsia="方正仿宋_GBK"/>
              <w:sz w:val="28"/>
              <w:szCs w:val="28"/>
            </w:rPr>
            <w:t>十二、合同生效及其它</w:t>
          </w:r>
          <w:r>
            <w:rPr>
              <w:sz w:val="28"/>
              <w:szCs w:val="28"/>
            </w:rPr>
            <w:tab/>
          </w:r>
          <w:r>
            <w:rPr>
              <w:sz w:val="28"/>
              <w:szCs w:val="28"/>
            </w:rPr>
            <w:fldChar w:fldCharType="begin"/>
          </w:r>
          <w:r>
            <w:rPr>
              <w:sz w:val="28"/>
              <w:szCs w:val="28"/>
            </w:rPr>
            <w:instrText xml:space="preserve"> PAGEREF _Toc15570 </w:instrText>
          </w:r>
          <w:r>
            <w:rPr>
              <w:sz w:val="28"/>
              <w:szCs w:val="28"/>
            </w:rPr>
            <w:fldChar w:fldCharType="separate"/>
          </w:r>
          <w:r>
            <w:rPr>
              <w:sz w:val="28"/>
              <w:szCs w:val="28"/>
            </w:rPr>
            <w:t>- 21 -</w:t>
          </w:r>
          <w:r>
            <w:rPr>
              <w:sz w:val="28"/>
              <w:szCs w:val="28"/>
            </w:rPr>
            <w:fldChar w:fldCharType="end"/>
          </w:r>
          <w:r>
            <w:rPr>
              <w:sz w:val="28"/>
              <w:szCs w:val="28"/>
            </w:rPr>
            <w:fldChar w:fldCharType="end"/>
          </w:r>
        </w:p>
        <w:p>
          <w:pPr>
            <w:pStyle w:val="25"/>
            <w:tabs>
              <w:tab w:val="right" w:leader="dot" w:pos="9412"/>
            </w:tabs>
            <w:ind w:left="560"/>
            <w:rPr>
              <w:rFonts w:ascii="方正小标宋_GBK" w:hAnsi="宋体"/>
              <w:sz w:val="28"/>
              <w:szCs w:val="28"/>
            </w:rPr>
          </w:pPr>
          <w:r>
            <w:rPr>
              <w:rFonts w:hint="eastAsia" w:ascii="方正小标宋_GBK" w:hAnsi="宋体" w:eastAsia="方正小标宋_GBK"/>
              <w:sz w:val="28"/>
              <w:szCs w:val="28"/>
            </w:rPr>
            <w:t>第六篇  响应文件格式要求</w:t>
          </w:r>
          <w:r>
            <w:rPr>
              <w:sz w:val="28"/>
              <w:szCs w:val="28"/>
            </w:rPr>
            <w:tab/>
          </w:r>
          <w:r>
            <w:rPr>
              <w:rFonts w:hint="eastAsia"/>
              <w:sz w:val="28"/>
              <w:szCs w:val="28"/>
            </w:rPr>
            <w:t>-28-</w:t>
          </w:r>
        </w:p>
        <w:p>
          <w:pPr>
            <w:pStyle w:val="24"/>
            <w:tabs>
              <w:tab w:val="right" w:leader="dot" w:pos="9412"/>
            </w:tabs>
            <w:ind w:firstLine="400" w:firstLineChars="200"/>
            <w:rPr>
              <w:rFonts w:ascii="方正仿宋_GBK" w:eastAsia="方正仿宋_GBK"/>
            </w:rPr>
          </w:pPr>
          <w:r>
            <w:fldChar w:fldCharType="begin"/>
          </w:r>
          <w:r>
            <w:instrText xml:space="preserve"> HYPERLINK \l "_Toc20455" </w:instrText>
          </w:r>
          <w:r>
            <w:fldChar w:fldCharType="separate"/>
          </w:r>
          <w:r>
            <w:rPr>
              <w:rFonts w:hint="eastAsia" w:ascii="方正仿宋_GBK" w:hAnsi="宋体" w:eastAsia="方正仿宋_GBK"/>
              <w:sz w:val="28"/>
              <w:szCs w:val="28"/>
            </w:rPr>
            <w:t>（结束）</w:t>
          </w:r>
          <w:r>
            <w:rPr>
              <w:sz w:val="28"/>
              <w:szCs w:val="28"/>
            </w:rPr>
            <w:tab/>
          </w:r>
          <w:r>
            <w:rPr>
              <w:sz w:val="28"/>
              <w:szCs w:val="28"/>
            </w:rPr>
            <w:fldChar w:fldCharType="begin"/>
          </w:r>
          <w:r>
            <w:rPr>
              <w:sz w:val="28"/>
              <w:szCs w:val="28"/>
            </w:rPr>
            <w:instrText xml:space="preserve"> PAGEREF _Toc20455 </w:instrText>
          </w:r>
          <w:r>
            <w:rPr>
              <w:sz w:val="28"/>
              <w:szCs w:val="28"/>
            </w:rPr>
            <w:fldChar w:fldCharType="separate"/>
          </w:r>
          <w:r>
            <w:rPr>
              <w:sz w:val="28"/>
              <w:szCs w:val="28"/>
            </w:rPr>
            <w:t>- 43 -</w:t>
          </w:r>
          <w:r>
            <w:rPr>
              <w:sz w:val="28"/>
              <w:szCs w:val="28"/>
            </w:rPr>
            <w:fldChar w:fldCharType="end"/>
          </w:r>
          <w:r>
            <w:rPr>
              <w:sz w:val="28"/>
              <w:szCs w:val="28"/>
            </w:rPr>
            <w:fldChar w:fldCharType="end"/>
          </w:r>
        </w:p>
        <w:p>
          <w:pPr>
            <w:pStyle w:val="16"/>
            <w:tabs>
              <w:tab w:val="right" w:leader="dot" w:pos="9402"/>
            </w:tabs>
            <w:spacing w:line="480" w:lineRule="exact"/>
            <w:ind w:left="0" w:leftChars="0"/>
            <w:outlineLvl w:val="1"/>
            <w:rPr>
              <w:rFonts w:ascii="方正仿宋_GBK" w:eastAsia="方正仿宋_GBK"/>
              <w:sz w:val="18"/>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0" w:charSpace="-5735"/>
            </w:sectPr>
          </w:pPr>
          <w:r>
            <w:rPr>
              <w:rFonts w:ascii="方正仿宋_GBK" w:eastAsia="方正仿宋_GBK"/>
            </w:rPr>
            <w:fldChar w:fldCharType="end"/>
          </w:r>
        </w:p>
      </w:sdtContent>
    </w:sdt>
    <w:p>
      <w:pPr>
        <w:pStyle w:val="4"/>
        <w:spacing w:line="360" w:lineRule="auto"/>
        <w:jc w:val="center"/>
        <w:rPr>
          <w:rFonts w:ascii="方正小标宋_GBK" w:hAnsi="宋体" w:eastAsia="方正小标宋_GBK"/>
          <w:b w:val="0"/>
          <w:szCs w:val="30"/>
        </w:rPr>
      </w:pPr>
      <w:bookmarkStart w:id="2" w:name="_Toc12911"/>
      <w:bookmarkStart w:id="3" w:name="_Toc12789052"/>
      <w:bookmarkStart w:id="4" w:name="_Toc14974"/>
      <w:bookmarkStart w:id="5" w:name="_Toc26928"/>
      <w:bookmarkStart w:id="6" w:name="_Toc11641050"/>
      <w:r>
        <w:rPr>
          <w:rFonts w:hint="eastAsia" w:ascii="方正小标宋_GBK" w:hAnsi="宋体" w:eastAsia="方正小标宋_GBK"/>
          <w:b w:val="0"/>
          <w:sz w:val="36"/>
          <w:szCs w:val="30"/>
        </w:rPr>
        <w:t>第一篇  竞争性谈判邀请书</w:t>
      </w:r>
      <w:bookmarkEnd w:id="2"/>
      <w:bookmarkEnd w:id="3"/>
      <w:bookmarkEnd w:id="4"/>
      <w:bookmarkEnd w:id="5"/>
      <w:bookmarkEnd w:id="6"/>
    </w:p>
    <w:p>
      <w:pPr>
        <w:snapToGrid w:val="0"/>
        <w:spacing w:line="400" w:lineRule="exact"/>
        <w:ind w:firstLine="480" w:firstLineChars="200"/>
        <w:rPr>
          <w:rFonts w:ascii="方正仿宋_GBK" w:hAnsi="宋体" w:eastAsia="方正仿宋_GBK"/>
          <w:sz w:val="24"/>
          <w:szCs w:val="24"/>
        </w:rPr>
      </w:pPr>
      <w:bookmarkStart w:id="7" w:name="_Toc313893526"/>
      <w:bookmarkStart w:id="8" w:name="_Toc317775175"/>
      <w:r>
        <w:rPr>
          <w:rFonts w:hint="eastAsia" w:ascii="方正仿宋_GBK" w:hAnsi="宋体" w:eastAsia="方正仿宋_GBK"/>
          <w:sz w:val="24"/>
          <w:szCs w:val="24"/>
        </w:rPr>
        <w:t>重庆城市管理职业学院招标采购中心</w:t>
      </w:r>
      <w:r>
        <w:rPr>
          <w:rFonts w:hint="eastAsia" w:ascii="方正仿宋_GBK" w:hAnsi="方正仿宋_GBK" w:eastAsia="方正仿宋_GBK" w:cs="方正仿宋_GBK"/>
          <w:sz w:val="24"/>
          <w:szCs w:val="24"/>
        </w:rPr>
        <w:t>根据重庆市财政局渝财采购【2019】2号文件精神</w:t>
      </w:r>
      <w:r>
        <w:rPr>
          <w:rFonts w:hint="eastAsia" w:ascii="方正仿宋_GBK" w:hAnsi="宋体" w:eastAsia="方正仿宋_GBK"/>
          <w:sz w:val="24"/>
          <w:szCs w:val="24"/>
        </w:rPr>
        <w:t>，对重庆城市管理职业学院</w:t>
      </w:r>
      <w:r>
        <w:rPr>
          <w:rFonts w:hint="eastAsia" w:ascii="方正仿宋_GBK" w:hAnsi="宋体" w:eastAsia="方正仿宋_GBK"/>
          <w:sz w:val="24"/>
          <w:szCs w:val="24"/>
          <w:lang w:val="en-US" w:eastAsia="zh-CN"/>
        </w:rPr>
        <w:t>物联网1+X证书实训设备</w:t>
      </w:r>
      <w:r>
        <w:rPr>
          <w:rFonts w:hint="eastAsia" w:ascii="方正仿宋_GBK" w:hAnsi="宋体" w:eastAsia="方正仿宋_GBK"/>
          <w:sz w:val="24"/>
          <w:szCs w:val="24"/>
        </w:rPr>
        <w:t>（项目编号</w:t>
      </w:r>
      <w:r>
        <w:rPr>
          <w:rFonts w:hint="eastAsia" w:ascii="方正仿宋_GBK" w:hAnsi="宋体" w:eastAsia="方正仿宋_GBK"/>
          <w:sz w:val="24"/>
          <w:szCs w:val="24"/>
          <w:lang w:eastAsia="zh-CN"/>
        </w:rPr>
        <w:t>CSWU2020A-14</w:t>
      </w:r>
      <w:r>
        <w:rPr>
          <w:rFonts w:hint="eastAsia" w:ascii="方正仿宋_GBK" w:hAnsi="宋体" w:eastAsia="方正仿宋_GBK"/>
          <w:sz w:val="24"/>
          <w:szCs w:val="24"/>
        </w:rPr>
        <w:t>）自主进行竞争性谈判采购。欢迎有资格的供应商前来参加谈判。</w:t>
      </w:r>
    </w:p>
    <w:p>
      <w:pPr>
        <w:pStyle w:val="5"/>
        <w:spacing w:line="400" w:lineRule="exact"/>
        <w:rPr>
          <w:rFonts w:ascii="方正仿宋_GBK" w:eastAsia="方正仿宋_GBK"/>
          <w:sz w:val="24"/>
          <w:szCs w:val="24"/>
        </w:rPr>
      </w:pPr>
      <w:bookmarkStart w:id="9" w:name="_Toc15292"/>
      <w:bookmarkStart w:id="10" w:name="_Toc2329"/>
      <w:r>
        <w:rPr>
          <w:rFonts w:hint="eastAsia" w:ascii="方正仿宋_GBK" w:eastAsia="方正仿宋_GBK"/>
          <w:sz w:val="24"/>
          <w:szCs w:val="24"/>
        </w:rPr>
        <w:t>一、竞争性谈判内容</w:t>
      </w:r>
      <w:bookmarkEnd w:id="7"/>
      <w:bookmarkEnd w:id="8"/>
      <w:bookmarkEnd w:id="9"/>
      <w:bookmarkEnd w:id="10"/>
      <w:bookmarkStart w:id="11" w:name="_Toc373860293"/>
      <w:bookmarkStart w:id="12" w:name="_Toc317775178"/>
    </w:p>
    <w:tbl>
      <w:tblPr>
        <w:tblStyle w:val="18"/>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2220"/>
        <w:gridCol w:w="1440"/>
        <w:gridCol w:w="1896"/>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vAlign w:val="center"/>
          </w:tcPr>
          <w:p>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项目名称</w:t>
            </w:r>
          </w:p>
        </w:tc>
        <w:tc>
          <w:tcPr>
            <w:tcW w:w="2220" w:type="dxa"/>
            <w:vAlign w:val="center"/>
          </w:tcPr>
          <w:p>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数量和功能及技术参数</w:t>
            </w:r>
          </w:p>
        </w:tc>
        <w:tc>
          <w:tcPr>
            <w:tcW w:w="1440" w:type="dxa"/>
            <w:vAlign w:val="center"/>
          </w:tcPr>
          <w:p>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最高限价（万元）</w:t>
            </w:r>
          </w:p>
        </w:tc>
        <w:tc>
          <w:tcPr>
            <w:tcW w:w="1896" w:type="dxa"/>
            <w:vAlign w:val="center"/>
          </w:tcPr>
          <w:p>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投标保证金</w:t>
            </w:r>
          </w:p>
          <w:p>
            <w:pPr>
              <w:snapToGrid w:val="0"/>
              <w:spacing w:line="400" w:lineRule="exact"/>
              <w:ind w:firstLine="480" w:firstLineChars="200"/>
              <w:jc w:val="center"/>
              <w:rPr>
                <w:rFonts w:ascii="方正仿宋_GBK" w:hAnsi="宋体" w:eastAsia="方正仿宋_GBK"/>
                <w:sz w:val="24"/>
                <w:szCs w:val="24"/>
              </w:rPr>
            </w:pPr>
            <w:r>
              <w:rPr>
                <w:rFonts w:hint="eastAsia" w:ascii="方正仿宋_GBK" w:hAnsi="宋体" w:eastAsia="方正仿宋_GBK"/>
                <w:sz w:val="24"/>
                <w:szCs w:val="24"/>
              </w:rPr>
              <w:t>（万元）</w:t>
            </w:r>
          </w:p>
        </w:tc>
        <w:tc>
          <w:tcPr>
            <w:tcW w:w="1618" w:type="dxa"/>
            <w:vAlign w:val="center"/>
          </w:tcPr>
          <w:p>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成交供应商数量（名）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785" w:type="dxa"/>
            <w:vAlign w:val="center"/>
          </w:tcPr>
          <w:p>
            <w:pPr>
              <w:snapToGrid w:val="0"/>
              <w:spacing w:line="400" w:lineRule="exact"/>
              <w:jc w:val="center"/>
              <w:rPr>
                <w:rFonts w:hint="eastAsia" w:ascii="方正仿宋_GBK" w:hAnsi="宋体" w:eastAsia="方正仿宋_GBK"/>
                <w:sz w:val="24"/>
                <w:szCs w:val="24"/>
                <w:lang w:eastAsia="zh-CN"/>
              </w:rPr>
            </w:pPr>
            <w:r>
              <w:rPr>
                <w:rFonts w:hint="eastAsia" w:ascii="方正仿宋_GBK" w:hAnsi="宋体" w:eastAsia="方正仿宋_GBK"/>
                <w:sz w:val="24"/>
                <w:szCs w:val="24"/>
                <w:lang w:eastAsia="zh-CN"/>
              </w:rPr>
              <w:t>物联网1+X证书实训设备</w:t>
            </w:r>
          </w:p>
        </w:tc>
        <w:tc>
          <w:tcPr>
            <w:tcW w:w="2220" w:type="dxa"/>
            <w:vAlign w:val="center"/>
          </w:tcPr>
          <w:p>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详见采购需求表</w:t>
            </w:r>
          </w:p>
        </w:tc>
        <w:tc>
          <w:tcPr>
            <w:tcW w:w="1440" w:type="dxa"/>
            <w:vAlign w:val="center"/>
          </w:tcPr>
          <w:p>
            <w:pPr>
              <w:snapToGrid w:val="0"/>
              <w:spacing w:line="400" w:lineRule="exact"/>
              <w:jc w:val="center"/>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18.8</w:t>
            </w:r>
          </w:p>
        </w:tc>
        <w:tc>
          <w:tcPr>
            <w:tcW w:w="1896" w:type="dxa"/>
            <w:vAlign w:val="center"/>
          </w:tcPr>
          <w:p>
            <w:pPr>
              <w:snapToGrid w:val="0"/>
              <w:spacing w:line="400" w:lineRule="exact"/>
              <w:jc w:val="center"/>
              <w:rPr>
                <w:rFonts w:hint="default" w:ascii="方正仿宋_GBK" w:hAnsi="宋体" w:eastAsia="方正仿宋_GBK"/>
                <w:sz w:val="24"/>
                <w:szCs w:val="24"/>
                <w:lang w:val="en-US" w:eastAsia="zh-CN"/>
              </w:rPr>
            </w:pPr>
            <w:r>
              <w:rPr>
                <w:rFonts w:hint="eastAsia" w:ascii="方正仿宋_GBK" w:hAnsi="宋体" w:eastAsia="方正仿宋_GBK"/>
                <w:sz w:val="24"/>
                <w:szCs w:val="24"/>
              </w:rPr>
              <w:t>0.</w:t>
            </w:r>
            <w:r>
              <w:rPr>
                <w:rFonts w:hint="eastAsia" w:ascii="方正仿宋_GBK" w:hAnsi="宋体" w:eastAsia="方正仿宋_GBK"/>
                <w:sz w:val="24"/>
                <w:szCs w:val="24"/>
                <w:lang w:val="en-US" w:eastAsia="zh-CN"/>
              </w:rPr>
              <w:t>37</w:t>
            </w:r>
          </w:p>
        </w:tc>
        <w:tc>
          <w:tcPr>
            <w:tcW w:w="1618" w:type="dxa"/>
            <w:vAlign w:val="center"/>
          </w:tcPr>
          <w:p>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1</w:t>
            </w:r>
          </w:p>
        </w:tc>
      </w:tr>
    </w:tbl>
    <w:p>
      <w:pPr>
        <w:pStyle w:val="5"/>
        <w:spacing w:line="400" w:lineRule="exact"/>
        <w:rPr>
          <w:rFonts w:ascii="方正仿宋_GBK" w:eastAsia="方正仿宋_GBK"/>
          <w:sz w:val="24"/>
          <w:szCs w:val="24"/>
        </w:rPr>
      </w:pPr>
    </w:p>
    <w:p>
      <w:pPr>
        <w:pStyle w:val="5"/>
        <w:spacing w:line="400" w:lineRule="exact"/>
        <w:rPr>
          <w:rFonts w:ascii="方正仿宋_GBK" w:eastAsia="方正仿宋_GBK"/>
          <w:sz w:val="24"/>
          <w:szCs w:val="24"/>
        </w:rPr>
      </w:pPr>
      <w:bookmarkStart w:id="13" w:name="_Toc13815"/>
      <w:bookmarkStart w:id="14" w:name="_Toc29726"/>
      <w:r>
        <w:rPr>
          <w:rFonts w:hint="eastAsia" w:ascii="方正仿宋_GBK" w:eastAsia="方正仿宋_GBK"/>
          <w:sz w:val="24"/>
          <w:szCs w:val="24"/>
        </w:rPr>
        <w:t>二、资金来源</w:t>
      </w:r>
      <w:bookmarkEnd w:id="13"/>
      <w:bookmarkEnd w:id="14"/>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自筹资金。</w:t>
      </w:r>
    </w:p>
    <w:p>
      <w:pPr>
        <w:pStyle w:val="5"/>
        <w:spacing w:line="400" w:lineRule="exact"/>
        <w:rPr>
          <w:rFonts w:ascii="方正仿宋_GBK" w:eastAsia="方正仿宋_GBK"/>
          <w:sz w:val="24"/>
          <w:szCs w:val="24"/>
        </w:rPr>
      </w:pPr>
      <w:bookmarkStart w:id="15" w:name="_Toc657"/>
      <w:bookmarkStart w:id="16" w:name="_Toc2198"/>
      <w:r>
        <w:rPr>
          <w:rFonts w:hint="eastAsia" w:ascii="方正仿宋_GBK" w:eastAsia="方正仿宋_GBK"/>
          <w:sz w:val="24"/>
          <w:szCs w:val="24"/>
        </w:rPr>
        <w:t>三、谈判资格</w:t>
      </w:r>
      <w:bookmarkEnd w:id="15"/>
      <w:bookmarkEnd w:id="16"/>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谈判供应商是指向采购人提供货物、工程或者服务的法人、其他组织或者自然人。以下简称供应商。合格的供应商应首先符合以下基本条件，同时符合根据该项目特殊要求设置的特定资格条件。</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（一）具有独立承担民事责任的能力；</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（二）具有良好的商业信誉和健全的财务会计制度；</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（三）具有履行合同所必需的设备和专业技术能力；</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（四）有依法缴纳税收和社会保障资金的良好记录；</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（五）参加政府采购活动前三年内，在经营活动中没有重大违法记录；</w:t>
      </w:r>
    </w:p>
    <w:p>
      <w:pPr>
        <w:spacing w:line="480" w:lineRule="exact"/>
        <w:ind w:firstLine="480" w:firstLineChars="200"/>
        <w:rPr>
          <w:rFonts w:ascii="方正仿宋_GBK" w:hAnsi="宋体" w:eastAsia="方正仿宋_GBK"/>
          <w:sz w:val="24"/>
          <w:szCs w:val="24"/>
          <w:highlight w:val="yellow"/>
        </w:rPr>
      </w:pPr>
      <w:r>
        <w:rPr>
          <w:rFonts w:hint="eastAsia" w:ascii="方正仿宋_GBK" w:hAnsi="宋体" w:eastAsia="方正仿宋_GBK"/>
          <w:sz w:val="24"/>
          <w:szCs w:val="24"/>
        </w:rPr>
        <w:t>（六）法律、行政法规规定的其他条件。</w:t>
      </w:r>
      <w:bookmarkStart w:id="268" w:name="_GoBack"/>
      <w:bookmarkEnd w:id="268"/>
    </w:p>
    <w:p>
      <w:pPr>
        <w:pStyle w:val="5"/>
        <w:spacing w:line="480" w:lineRule="exact"/>
        <w:rPr>
          <w:rFonts w:ascii="方正仿宋_GBK" w:eastAsia="方正仿宋_GBK"/>
          <w:sz w:val="24"/>
          <w:szCs w:val="24"/>
        </w:rPr>
      </w:pPr>
      <w:bookmarkStart w:id="17" w:name="_Toc6759"/>
      <w:bookmarkStart w:id="18" w:name="_Toc23349"/>
      <w:r>
        <w:rPr>
          <w:rFonts w:hint="eastAsia" w:ascii="方正仿宋_GBK" w:eastAsia="方正仿宋_GBK"/>
          <w:sz w:val="24"/>
          <w:szCs w:val="24"/>
        </w:rPr>
        <w:t>四、谈判有关说明</w:t>
      </w:r>
      <w:bookmarkEnd w:id="11"/>
      <w:bookmarkEnd w:id="17"/>
      <w:bookmarkEnd w:id="18"/>
    </w:p>
    <w:bookmarkEnd w:id="12"/>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（一）凡有意参加谈判的供应商，请于2020年11月</w:t>
      </w:r>
      <w:r>
        <w:rPr>
          <w:rFonts w:hint="eastAsia" w:ascii="方正仿宋_GBK" w:hAnsi="宋体" w:eastAsia="方正仿宋_GBK"/>
          <w:sz w:val="24"/>
          <w:szCs w:val="24"/>
          <w:lang w:val="en-US" w:eastAsia="zh-CN"/>
        </w:rPr>
        <w:t>30</w:t>
      </w:r>
      <w:r>
        <w:rPr>
          <w:rFonts w:hint="eastAsia" w:ascii="方正仿宋_GBK" w:hAnsi="宋体" w:eastAsia="方正仿宋_GBK"/>
          <w:sz w:val="24"/>
          <w:szCs w:val="24"/>
        </w:rPr>
        <w:t>日公告发布之日起三个工作日内自行在重庆市行采家（https://www.gec123.com/）上下载本项目竞争性谈判文件以及图纸、补遗等谈判前公布的所有项目资料，无论供应商下载与否，均视为已知晓所有谈判实质性要求内容；同时在重庆城市管理职业学院招标采购中心（http://www.cswu.cn/zbzx/）发布采购公告。</w:t>
      </w:r>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（二）报名方式为谈判当天现场报名。</w:t>
      </w:r>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（三）招标文件购买费（含评审费、谈判文件制作费）售后不退。</w:t>
      </w:r>
    </w:p>
    <w:p>
      <w:pPr>
        <w:pStyle w:val="15"/>
        <w:pBdr>
          <w:bottom w:val="none" w:color="auto" w:sz="0" w:space="0"/>
        </w:pBdr>
        <w:tabs>
          <w:tab w:val="left" w:pos="600"/>
        </w:tabs>
        <w:spacing w:line="400" w:lineRule="exact"/>
        <w:ind w:firstLine="480" w:firstLineChars="200"/>
        <w:contextualSpacing/>
        <w:jc w:val="left"/>
        <w:rPr>
          <w:rFonts w:ascii="方正仿宋_GBK" w:hAnsi="宋体" w:eastAsia="方正仿宋_GBK"/>
          <w:sz w:val="24"/>
          <w:szCs w:val="24"/>
        </w:rPr>
      </w:pPr>
      <w:r>
        <w:rPr>
          <w:rFonts w:hint="eastAsia" w:ascii="方正仿宋_GBK" w:hAnsi="宋体" w:eastAsia="方正仿宋_GBK"/>
          <w:sz w:val="24"/>
          <w:szCs w:val="24"/>
        </w:rPr>
        <w:t>（五）报名提交资料</w:t>
      </w:r>
    </w:p>
    <w:p>
      <w:pPr>
        <w:pStyle w:val="15"/>
        <w:pBdr>
          <w:bottom w:val="none" w:color="auto" w:sz="0" w:space="0"/>
        </w:pBdr>
        <w:tabs>
          <w:tab w:val="left" w:pos="600"/>
        </w:tabs>
        <w:spacing w:line="400" w:lineRule="exact"/>
        <w:ind w:firstLine="720" w:firstLineChars="300"/>
        <w:contextualSpacing/>
        <w:jc w:val="left"/>
        <w:rPr>
          <w:rFonts w:ascii="方正仿宋_GBK" w:hAnsi="宋体" w:eastAsia="方正仿宋_GBK"/>
          <w:sz w:val="24"/>
          <w:szCs w:val="24"/>
        </w:rPr>
      </w:pPr>
      <w:r>
        <w:rPr>
          <w:rFonts w:hint="eastAsia" w:ascii="方正仿宋_GBK" w:hAnsi="宋体" w:eastAsia="方正仿宋_GBK"/>
          <w:sz w:val="24"/>
          <w:szCs w:val="24"/>
        </w:rPr>
        <w:t>1. 投标文件；</w:t>
      </w:r>
    </w:p>
    <w:p>
      <w:pPr>
        <w:pStyle w:val="15"/>
        <w:pBdr>
          <w:bottom w:val="none" w:color="auto" w:sz="0" w:space="0"/>
        </w:pBdr>
        <w:tabs>
          <w:tab w:val="left" w:pos="600"/>
        </w:tabs>
        <w:spacing w:line="400" w:lineRule="exact"/>
        <w:ind w:firstLine="720" w:firstLineChars="300"/>
        <w:contextualSpacing/>
        <w:jc w:val="left"/>
        <w:rPr>
          <w:rFonts w:ascii="方正仿宋_GBK" w:hAnsi="宋体" w:eastAsia="方正仿宋_GBK"/>
          <w:sz w:val="24"/>
          <w:szCs w:val="24"/>
        </w:rPr>
      </w:pPr>
      <w:r>
        <w:rPr>
          <w:rFonts w:hint="eastAsia" w:ascii="方正仿宋_GBK" w:hAnsi="宋体" w:eastAsia="方正仿宋_GBK"/>
          <w:sz w:val="24"/>
          <w:szCs w:val="24"/>
        </w:rPr>
        <w:t>2. 投标保证金转账凭据；</w:t>
      </w:r>
    </w:p>
    <w:p>
      <w:pPr>
        <w:pStyle w:val="15"/>
        <w:pBdr>
          <w:bottom w:val="none" w:color="auto" w:sz="0" w:space="0"/>
        </w:pBdr>
        <w:tabs>
          <w:tab w:val="left" w:pos="600"/>
        </w:tabs>
        <w:spacing w:line="400" w:lineRule="exact"/>
        <w:ind w:firstLine="720" w:firstLineChars="300"/>
        <w:contextualSpacing/>
        <w:jc w:val="left"/>
        <w:rPr>
          <w:rFonts w:ascii="方正仿宋_GBK" w:hAnsi="宋体" w:eastAsia="方正仿宋_GBK"/>
          <w:sz w:val="24"/>
          <w:szCs w:val="24"/>
        </w:rPr>
      </w:pPr>
      <w:r>
        <w:rPr>
          <w:rFonts w:hint="eastAsia" w:ascii="方正仿宋_GBK" w:hAnsi="宋体" w:eastAsia="方正仿宋_GBK"/>
          <w:sz w:val="24"/>
          <w:szCs w:val="24"/>
        </w:rPr>
        <w:t>3. 缴纳了招标文件购买费（投标单位在开标当天谈判开始前半小时内到学校办公楼104室财务处缴纳，提交投标文件时出示发票）。</w:t>
      </w:r>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（六）谈判地点：重庆城市管理职业学院图书馆西面二楼1211室</w:t>
      </w:r>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（七）提交响应文件起止时间：</w:t>
      </w:r>
      <w:r>
        <w:rPr>
          <w:rFonts w:hint="eastAsia" w:ascii="方正仿宋_GBK" w:hAnsi="宋体" w:eastAsia="方正仿宋_GBK"/>
          <w:sz w:val="24"/>
          <w:szCs w:val="24"/>
          <w:highlight w:val="yellow"/>
        </w:rPr>
        <w:t>2020年12月</w:t>
      </w:r>
      <w:r>
        <w:rPr>
          <w:rFonts w:hint="eastAsia" w:ascii="方正仿宋_GBK" w:hAnsi="宋体" w:eastAsia="方正仿宋_GBK"/>
          <w:sz w:val="24"/>
          <w:szCs w:val="24"/>
          <w:highlight w:val="yellow"/>
          <w:lang w:val="en-US" w:eastAsia="zh-CN"/>
        </w:rPr>
        <w:t>4</w:t>
      </w:r>
      <w:r>
        <w:rPr>
          <w:rFonts w:hint="eastAsia" w:ascii="方正仿宋_GBK" w:hAnsi="宋体" w:eastAsia="方正仿宋_GBK"/>
          <w:sz w:val="24"/>
          <w:szCs w:val="24"/>
          <w:highlight w:val="yellow"/>
        </w:rPr>
        <w:t>日北京时间:</w:t>
      </w:r>
      <w:r>
        <w:rPr>
          <w:rFonts w:hint="eastAsia" w:ascii="方正仿宋_GBK" w:hAnsi="宋体" w:eastAsia="方正仿宋_GBK"/>
          <w:sz w:val="24"/>
          <w:szCs w:val="24"/>
          <w:highlight w:val="yellow"/>
          <w:lang w:val="en-US" w:eastAsia="zh-CN"/>
        </w:rPr>
        <w:t>9:00-9:30</w:t>
      </w:r>
    </w:p>
    <w:p>
      <w:pPr>
        <w:spacing w:line="380" w:lineRule="exact"/>
        <w:ind w:firstLine="480" w:firstLineChars="200"/>
        <w:rPr>
          <w:rFonts w:ascii="方正仿宋_GBK" w:hAnsi="宋体" w:eastAsia="方正仿宋_GBK"/>
          <w:sz w:val="24"/>
          <w:szCs w:val="24"/>
          <w:highlight w:val="yellow"/>
        </w:rPr>
      </w:pPr>
      <w:r>
        <w:rPr>
          <w:rFonts w:hint="eastAsia" w:ascii="方正仿宋_GBK" w:hAnsi="宋体" w:eastAsia="方正仿宋_GBK"/>
          <w:sz w:val="24"/>
          <w:szCs w:val="24"/>
        </w:rPr>
        <w:t>（八）谈判开始时间：</w:t>
      </w:r>
      <w:r>
        <w:rPr>
          <w:rFonts w:hint="eastAsia" w:ascii="方正仿宋_GBK" w:hAnsi="宋体" w:eastAsia="方正仿宋_GBK"/>
          <w:sz w:val="24"/>
          <w:szCs w:val="24"/>
          <w:highlight w:val="yellow"/>
        </w:rPr>
        <w:t>2020年12月</w:t>
      </w:r>
      <w:r>
        <w:rPr>
          <w:rFonts w:hint="eastAsia" w:ascii="方正仿宋_GBK" w:hAnsi="宋体" w:eastAsia="方正仿宋_GBK"/>
          <w:sz w:val="24"/>
          <w:szCs w:val="24"/>
          <w:highlight w:val="yellow"/>
          <w:lang w:val="en-US" w:eastAsia="zh-CN"/>
        </w:rPr>
        <w:t>4</w:t>
      </w:r>
      <w:r>
        <w:rPr>
          <w:rFonts w:hint="eastAsia" w:ascii="方正仿宋_GBK" w:hAnsi="宋体" w:eastAsia="方正仿宋_GBK"/>
          <w:sz w:val="24"/>
          <w:szCs w:val="24"/>
          <w:highlight w:val="yellow"/>
        </w:rPr>
        <w:t>日北京时间</w:t>
      </w:r>
      <w:r>
        <w:rPr>
          <w:rFonts w:hint="eastAsia" w:ascii="方正仿宋_GBK" w:hAnsi="宋体" w:eastAsia="方正仿宋_GBK"/>
          <w:sz w:val="24"/>
          <w:szCs w:val="24"/>
          <w:highlight w:val="yellow"/>
          <w:lang w:val="en-US" w:eastAsia="zh-CN"/>
        </w:rPr>
        <w:t>9</w:t>
      </w:r>
      <w:r>
        <w:rPr>
          <w:rFonts w:hint="eastAsia" w:ascii="方正仿宋_GBK" w:hAnsi="宋体" w:eastAsia="方正仿宋_GBK"/>
          <w:sz w:val="24"/>
          <w:szCs w:val="24"/>
          <w:highlight w:val="yellow"/>
        </w:rPr>
        <w:t>:30</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（九）所有参与竞争性谈判的单位，必须书面委托在该公司工作6个月及以上并熟悉本项目需求的代表在指定时间到达谈判现场。</w:t>
      </w:r>
    </w:p>
    <w:p>
      <w:pPr>
        <w:pStyle w:val="5"/>
        <w:spacing w:line="240" w:lineRule="auto"/>
        <w:rPr>
          <w:rFonts w:ascii="方正仿宋_GBK" w:hAnsi="宋体" w:eastAsia="方正仿宋_GBK"/>
          <w:sz w:val="24"/>
          <w:szCs w:val="24"/>
        </w:rPr>
      </w:pPr>
      <w:bookmarkStart w:id="19" w:name="_Toc14591_WPSOffice_Level2"/>
      <w:bookmarkStart w:id="20" w:name="_Toc6867"/>
      <w:bookmarkStart w:id="21" w:name="_Toc514856268"/>
      <w:r>
        <w:rPr>
          <w:rFonts w:hint="eastAsia" w:ascii="方正仿宋_GBK" w:hAnsi="宋体" w:eastAsia="方正仿宋_GBK"/>
          <w:sz w:val="24"/>
          <w:szCs w:val="24"/>
        </w:rPr>
        <w:t>五、招标文件购买费（含评审费、文件制作费）、投标保证金、履约保证金</w:t>
      </w:r>
      <w:bookmarkEnd w:id="19"/>
      <w:bookmarkEnd w:id="20"/>
      <w:bookmarkEnd w:id="21"/>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（一）招标文件购买费（含评审费、谈判文件制作费）</w:t>
      </w:r>
    </w:p>
    <w:p>
      <w:pPr>
        <w:spacing w:line="380" w:lineRule="exact"/>
        <w:ind w:firstLine="480" w:firstLineChars="200"/>
        <w:rPr>
          <w:rFonts w:ascii="方正仿宋_GBK" w:hAnsi="宋体" w:eastAsia="方正仿宋_GBK"/>
          <w:sz w:val="24"/>
          <w:szCs w:val="24"/>
        </w:rPr>
      </w:pPr>
      <w:r>
        <w:rPr>
          <w:rFonts w:ascii="方正仿宋_GBK" w:hAnsi="宋体" w:eastAsia="方正仿宋_GBK"/>
          <w:sz w:val="24"/>
          <w:szCs w:val="24"/>
        </w:rPr>
        <w:t>1</w:t>
      </w:r>
      <w:r>
        <w:rPr>
          <w:rFonts w:hint="eastAsia" w:ascii="方正仿宋_GBK" w:hAnsi="宋体" w:eastAsia="方正仿宋_GBK"/>
          <w:sz w:val="24"/>
          <w:szCs w:val="24"/>
        </w:rPr>
        <w:t>、招标文件购买费金额：</w:t>
      </w:r>
      <w:r>
        <w:rPr>
          <w:rFonts w:hint="eastAsia" w:ascii="方正仿宋_GBK" w:hAnsi="宋体" w:eastAsia="方正仿宋_GBK"/>
          <w:sz w:val="24"/>
          <w:szCs w:val="24"/>
          <w:lang w:val="en-US" w:eastAsia="zh-CN"/>
        </w:rPr>
        <w:t>4</w:t>
      </w:r>
      <w:r>
        <w:rPr>
          <w:rFonts w:ascii="方正仿宋_GBK" w:hAnsi="宋体" w:eastAsia="方正仿宋_GBK"/>
          <w:sz w:val="24"/>
          <w:szCs w:val="24"/>
        </w:rPr>
        <w:t>00</w:t>
      </w:r>
      <w:r>
        <w:rPr>
          <w:rFonts w:hint="eastAsia" w:ascii="方正仿宋_GBK" w:hAnsi="宋体" w:eastAsia="方正仿宋_GBK"/>
          <w:sz w:val="24"/>
          <w:szCs w:val="24"/>
        </w:rPr>
        <w:t>元；售后不退。</w:t>
      </w:r>
    </w:p>
    <w:p>
      <w:pPr>
        <w:spacing w:line="380" w:lineRule="exact"/>
        <w:ind w:firstLine="480" w:firstLineChars="200"/>
        <w:rPr>
          <w:rFonts w:ascii="方正仿宋_GBK" w:hAnsi="宋体" w:eastAsia="方正仿宋_GBK"/>
          <w:sz w:val="24"/>
          <w:szCs w:val="24"/>
        </w:rPr>
      </w:pPr>
      <w:r>
        <w:rPr>
          <w:rFonts w:ascii="方正仿宋_GBK" w:hAnsi="宋体" w:eastAsia="方正仿宋_GBK"/>
          <w:sz w:val="24"/>
          <w:szCs w:val="24"/>
        </w:rPr>
        <w:t>2</w:t>
      </w:r>
      <w:r>
        <w:rPr>
          <w:rFonts w:hint="eastAsia" w:ascii="方正仿宋_GBK" w:hAnsi="宋体" w:eastAsia="方正仿宋_GBK"/>
          <w:sz w:val="24"/>
          <w:szCs w:val="24"/>
        </w:rPr>
        <w:t>、缴纳方式：现金</w:t>
      </w:r>
    </w:p>
    <w:p>
      <w:pPr>
        <w:spacing w:line="380" w:lineRule="exact"/>
        <w:ind w:firstLine="480" w:firstLineChars="200"/>
        <w:rPr>
          <w:rFonts w:ascii="方正仿宋_GBK" w:hAnsi="宋体" w:eastAsia="方正仿宋_GBK"/>
          <w:sz w:val="24"/>
          <w:szCs w:val="24"/>
        </w:rPr>
      </w:pPr>
      <w:r>
        <w:rPr>
          <w:rFonts w:ascii="方正仿宋_GBK" w:hAnsi="宋体" w:eastAsia="方正仿宋_GBK"/>
          <w:sz w:val="24"/>
          <w:szCs w:val="24"/>
        </w:rPr>
        <w:t>3</w:t>
      </w:r>
      <w:r>
        <w:rPr>
          <w:rFonts w:hint="eastAsia" w:ascii="方正仿宋_GBK" w:hAnsi="宋体" w:eastAsia="方正仿宋_GBK"/>
          <w:sz w:val="24"/>
          <w:szCs w:val="24"/>
        </w:rPr>
        <w:t>、竞标人在在</w:t>
      </w:r>
      <w:r>
        <w:rPr>
          <w:rFonts w:hint="eastAsia" w:ascii="方正仿宋_GBK" w:hAnsi="宋体" w:eastAsia="方正仿宋_GBK"/>
          <w:sz w:val="24"/>
          <w:szCs w:val="24"/>
          <w:highlight w:val="yellow"/>
        </w:rPr>
        <w:t>2020年12月</w:t>
      </w:r>
      <w:r>
        <w:rPr>
          <w:rFonts w:hint="eastAsia" w:ascii="方正仿宋_GBK" w:hAnsi="宋体" w:eastAsia="方正仿宋_GBK"/>
          <w:sz w:val="24"/>
          <w:szCs w:val="24"/>
          <w:highlight w:val="yellow"/>
          <w:lang w:val="en-US" w:eastAsia="zh-CN"/>
        </w:rPr>
        <w:t>4</w:t>
      </w:r>
      <w:r>
        <w:rPr>
          <w:rFonts w:hint="eastAsia" w:ascii="方正仿宋_GBK" w:hAnsi="宋体" w:eastAsia="方正仿宋_GBK"/>
          <w:sz w:val="24"/>
          <w:szCs w:val="24"/>
          <w:highlight w:val="yellow"/>
        </w:rPr>
        <w:t>日北京时间</w:t>
      </w:r>
      <w:r>
        <w:rPr>
          <w:rFonts w:hint="eastAsia" w:ascii="方正仿宋_GBK" w:hAnsi="宋体" w:eastAsia="方正仿宋_GBK"/>
          <w:sz w:val="24"/>
          <w:szCs w:val="24"/>
          <w:highlight w:val="yellow"/>
          <w:lang w:val="en-US" w:eastAsia="zh-CN"/>
        </w:rPr>
        <w:t>9</w:t>
      </w:r>
      <w:r>
        <w:rPr>
          <w:rFonts w:hint="eastAsia" w:ascii="方正仿宋_GBK" w:hAnsi="宋体" w:eastAsia="方正仿宋_GBK"/>
          <w:sz w:val="24"/>
          <w:szCs w:val="24"/>
          <w:highlight w:val="yellow"/>
        </w:rPr>
        <w:t>:00-</w:t>
      </w:r>
      <w:r>
        <w:rPr>
          <w:rFonts w:hint="eastAsia" w:ascii="方正仿宋_GBK" w:hAnsi="宋体" w:eastAsia="方正仿宋_GBK"/>
          <w:sz w:val="24"/>
          <w:szCs w:val="24"/>
          <w:highlight w:val="yellow"/>
          <w:lang w:val="en-US" w:eastAsia="zh-CN"/>
        </w:rPr>
        <w:t>9</w:t>
      </w:r>
      <w:r>
        <w:rPr>
          <w:rFonts w:hint="eastAsia" w:ascii="方正仿宋_GBK" w:hAnsi="宋体" w:eastAsia="方正仿宋_GBK"/>
          <w:sz w:val="24"/>
          <w:szCs w:val="24"/>
          <w:highlight w:val="yellow"/>
        </w:rPr>
        <w:t>:30前</w:t>
      </w:r>
      <w:r>
        <w:rPr>
          <w:rFonts w:hint="eastAsia" w:ascii="方正仿宋_GBK" w:hAnsi="宋体" w:eastAsia="方正仿宋_GBK"/>
          <w:sz w:val="24"/>
          <w:szCs w:val="24"/>
        </w:rPr>
        <w:t>到办公楼财务处104室缴纳，提交投标文件时出示发票。</w:t>
      </w:r>
    </w:p>
    <w:p>
      <w:pPr>
        <w:spacing w:line="380" w:lineRule="exact"/>
        <w:ind w:firstLine="480" w:firstLineChars="200"/>
        <w:rPr>
          <w:rFonts w:ascii="方正仿宋_GBK" w:hAnsi="宋体" w:eastAsia="方正仿宋_GBK"/>
          <w:sz w:val="24"/>
          <w:szCs w:val="24"/>
        </w:rPr>
      </w:pPr>
      <w:r>
        <w:rPr>
          <w:rFonts w:ascii="方正仿宋_GBK" w:hAnsi="宋体" w:eastAsia="方正仿宋_GBK"/>
          <w:sz w:val="24"/>
          <w:szCs w:val="24"/>
        </w:rPr>
        <w:t>4</w:t>
      </w:r>
      <w:r>
        <w:rPr>
          <w:rFonts w:hint="eastAsia" w:ascii="方正仿宋_GBK" w:hAnsi="宋体" w:eastAsia="方正仿宋_GBK"/>
          <w:sz w:val="24"/>
          <w:szCs w:val="24"/>
        </w:rPr>
        <w:t>、填写的内容有：</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（1）采购项目编号</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（2）项目名称</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（二）投标保证金</w:t>
      </w:r>
    </w:p>
    <w:p>
      <w:pPr>
        <w:spacing w:line="380" w:lineRule="exact"/>
        <w:ind w:firstLine="480" w:firstLineChars="200"/>
        <w:rPr>
          <w:rFonts w:ascii="方正仿宋_GBK" w:hAnsi="宋体" w:eastAsia="方正仿宋_GBK"/>
          <w:sz w:val="24"/>
          <w:szCs w:val="24"/>
        </w:rPr>
      </w:pPr>
      <w:r>
        <w:rPr>
          <w:rFonts w:ascii="方正仿宋_GBK" w:hAnsi="宋体" w:eastAsia="方正仿宋_GBK"/>
          <w:sz w:val="24"/>
          <w:szCs w:val="24"/>
        </w:rPr>
        <w:t>1</w:t>
      </w:r>
      <w:r>
        <w:rPr>
          <w:rFonts w:hint="eastAsia" w:ascii="方正仿宋_GBK" w:hAnsi="宋体" w:eastAsia="方正仿宋_GBK"/>
          <w:sz w:val="24"/>
          <w:szCs w:val="24"/>
        </w:rPr>
        <w:t>、投标保证金金额：0.3</w:t>
      </w:r>
      <w:r>
        <w:rPr>
          <w:rFonts w:hint="eastAsia" w:ascii="方正仿宋_GBK" w:hAnsi="宋体" w:eastAsia="方正仿宋_GBK"/>
          <w:sz w:val="24"/>
          <w:szCs w:val="24"/>
          <w:lang w:val="en-US" w:eastAsia="zh-CN"/>
        </w:rPr>
        <w:t>7</w:t>
      </w:r>
      <w:r>
        <w:rPr>
          <w:rFonts w:hint="eastAsia" w:ascii="方正仿宋_GBK" w:hAnsi="宋体" w:eastAsia="方正仿宋_GBK"/>
          <w:sz w:val="24"/>
          <w:szCs w:val="24"/>
        </w:rPr>
        <w:t>万元</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（三）履约保证金</w:t>
      </w:r>
    </w:p>
    <w:p>
      <w:pPr>
        <w:spacing w:line="480" w:lineRule="exact"/>
        <w:ind w:firstLine="480" w:firstLineChars="200"/>
        <w:rPr>
          <w:rFonts w:ascii="方正仿宋_GBK" w:hAnsi="宋体" w:eastAsia="方正仿宋_GBK"/>
          <w:sz w:val="24"/>
          <w:szCs w:val="24"/>
        </w:rPr>
      </w:pPr>
      <w:r>
        <w:rPr>
          <w:rFonts w:ascii="方正仿宋_GBK" w:hAnsi="宋体" w:eastAsia="方正仿宋_GBK"/>
          <w:sz w:val="24"/>
          <w:szCs w:val="24"/>
        </w:rPr>
        <w:t>1</w:t>
      </w:r>
      <w:r>
        <w:rPr>
          <w:rFonts w:hint="eastAsia" w:ascii="方正仿宋_GBK" w:hAnsi="宋体" w:eastAsia="方正仿宋_GBK"/>
          <w:sz w:val="24"/>
          <w:szCs w:val="24"/>
        </w:rPr>
        <w:t>、成交供应商必须在签订合同前向采购人开户银行汇入合同金额的5%作为履约保证金，确保项目按期、按质进行。成交供应商若发生部分违约现象，采购人从履约保证金中扣除相应金额的违约金；若发现严重违约现象，采购人有充分理由没收其全额履约保证金。服务期满退还履约保证金（不计利息）。</w:t>
      </w:r>
    </w:p>
    <w:p>
      <w:pPr>
        <w:spacing w:line="440" w:lineRule="exact"/>
        <w:ind w:firstLine="480" w:firstLineChars="200"/>
        <w:jc w:val="left"/>
        <w:rPr>
          <w:rFonts w:ascii="方正仿宋_GBK" w:hAnsi="宋体" w:eastAsia="方正仿宋_GBK"/>
          <w:sz w:val="24"/>
          <w:szCs w:val="24"/>
        </w:rPr>
      </w:pPr>
      <w:r>
        <w:rPr>
          <w:rFonts w:ascii="方正仿宋_GBK" w:hAnsi="宋体" w:eastAsia="方正仿宋_GBK"/>
          <w:sz w:val="24"/>
          <w:szCs w:val="24"/>
        </w:rPr>
        <w:t>2</w:t>
      </w:r>
      <w:r>
        <w:rPr>
          <w:rFonts w:hint="eastAsia" w:ascii="方正仿宋_GBK" w:hAnsi="宋体" w:eastAsia="方正仿宋_GBK"/>
          <w:sz w:val="24"/>
          <w:szCs w:val="24"/>
        </w:rPr>
        <w:t>、履约保证金缴纳方式：以转账、电汇等方式到重庆城市管理职业学院指定的银行基本账户，不得以现金或其他方式划入任何个人账户，否则由此产生的所有损失由竞标人自行承担。</w:t>
      </w:r>
    </w:p>
    <w:p>
      <w:pPr>
        <w:spacing w:line="440" w:lineRule="exact"/>
        <w:ind w:firstLine="480" w:firstLineChars="200"/>
        <w:jc w:val="left"/>
        <w:rPr>
          <w:rFonts w:ascii="方正仿宋_GBK" w:hAnsi="宋体" w:eastAsia="方正仿宋_GBK"/>
          <w:sz w:val="24"/>
          <w:szCs w:val="24"/>
        </w:rPr>
      </w:pPr>
      <w:r>
        <w:rPr>
          <w:rFonts w:ascii="方正仿宋_GBK" w:hAnsi="宋体" w:eastAsia="方正仿宋_GBK"/>
          <w:sz w:val="24"/>
          <w:szCs w:val="24"/>
        </w:rPr>
        <w:t>3</w:t>
      </w:r>
      <w:r>
        <w:rPr>
          <w:rFonts w:hint="eastAsia" w:ascii="方正仿宋_GBK" w:hAnsi="宋体" w:eastAsia="方正仿宋_GBK"/>
          <w:sz w:val="24"/>
          <w:szCs w:val="24"/>
        </w:rPr>
        <w:t>、履约保证金指定收取账户</w:t>
      </w:r>
    </w:p>
    <w:p>
      <w:pPr>
        <w:spacing w:line="44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户名：重庆城市管理职业学院</w:t>
      </w:r>
    </w:p>
    <w:p>
      <w:pPr>
        <w:spacing w:line="44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开户行：中国建设银行重庆沙坪坝支行熙街分理处</w:t>
      </w:r>
    </w:p>
    <w:p>
      <w:pPr>
        <w:spacing w:line="44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账号：50001056800052500187</w:t>
      </w:r>
    </w:p>
    <w:p>
      <w:pPr>
        <w:tabs>
          <w:tab w:val="left" w:pos="516"/>
        </w:tabs>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4、履约保证金缴纳与退还联系方式：</w:t>
      </w:r>
    </w:p>
    <w:p>
      <w:pPr>
        <w:tabs>
          <w:tab w:val="left" w:pos="516"/>
        </w:tabs>
        <w:snapToGrid w:val="0"/>
        <w:spacing w:line="380" w:lineRule="exact"/>
        <w:ind w:firstLine="480" w:firstLineChars="200"/>
      </w:pPr>
      <w:r>
        <w:rPr>
          <w:rFonts w:hint="eastAsia" w:ascii="方正仿宋_GBK" w:hAnsi="宋体" w:eastAsia="方正仿宋_GBK"/>
          <w:sz w:val="24"/>
          <w:szCs w:val="24"/>
        </w:rPr>
        <w:t>供应商商在签订合同前缴纳合同总额的5%作为履约保证金，退还履约保证金，均与使用部门直接联系。</w:t>
      </w:r>
    </w:p>
    <w:p>
      <w:pPr>
        <w:snapToGrid w:val="0"/>
        <w:spacing w:line="440" w:lineRule="exact"/>
        <w:ind w:firstLine="480" w:firstLineChars="200"/>
        <w:rPr>
          <w:rFonts w:ascii="方正仿宋_GBK" w:eastAsia="方正仿宋_GBK"/>
          <w:b/>
          <w:bCs/>
          <w:sz w:val="24"/>
          <w:szCs w:val="24"/>
        </w:rPr>
      </w:pPr>
      <w:bookmarkStart w:id="22" w:name="_Toc479668114"/>
      <w:bookmarkStart w:id="23" w:name="_Toc514856269"/>
      <w:bookmarkStart w:id="24" w:name="_Toc480466698"/>
      <w:bookmarkStart w:id="25" w:name="_Toc14210_WPSOffice_Level2"/>
      <w:r>
        <w:rPr>
          <w:rFonts w:hint="eastAsia" w:ascii="方正仿宋_GBK" w:eastAsia="方正仿宋_GBK"/>
          <w:b/>
          <w:bCs/>
          <w:sz w:val="24"/>
          <w:szCs w:val="24"/>
        </w:rPr>
        <w:t>六、</w:t>
      </w:r>
      <w:bookmarkEnd w:id="22"/>
      <w:bookmarkEnd w:id="23"/>
      <w:bookmarkEnd w:id="24"/>
      <w:bookmarkEnd w:id="25"/>
      <w:bookmarkStart w:id="26" w:name="_Toc12595_WPSOffice_Level2"/>
      <w:bookmarkStart w:id="27" w:name="_Toc514856270"/>
      <w:bookmarkStart w:id="28" w:name="_Toc480466699"/>
      <w:r>
        <w:rPr>
          <w:rFonts w:hint="eastAsia" w:ascii="方正仿宋_GBK" w:eastAsia="方正仿宋_GBK"/>
          <w:b/>
          <w:bCs/>
          <w:sz w:val="24"/>
          <w:szCs w:val="24"/>
        </w:rPr>
        <w:t>其它有关规定</w:t>
      </w:r>
      <w:bookmarkEnd w:id="26"/>
      <w:bookmarkEnd w:id="27"/>
      <w:bookmarkEnd w:id="28"/>
    </w:p>
    <w:p>
      <w:pPr>
        <w:snapToGrid w:val="0"/>
        <w:spacing w:line="3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（分包）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，否则均为无效谈判。</w:t>
      </w:r>
    </w:p>
    <w:p>
      <w:pPr>
        <w:snapToGrid w:val="0"/>
        <w:spacing w:line="3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3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本项目的补遗文件（如果有）一律在重庆市行采家（https://www.gec123.com/）和重庆城市管理职业学院招标采购中心（http://www.cswu.cn/zbzx/）上发布，请各供应商自行下载；无论供应商下载或领取与否，均视同供应商已知晓本项目补遗文件（如果有）的内容。</w:t>
      </w:r>
    </w:p>
    <w:p>
      <w:pPr>
        <w:snapToGrid w:val="0"/>
        <w:spacing w:line="3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（四）超过响应文件截止时间递交的响应文件，恕不接收。</w:t>
      </w:r>
    </w:p>
    <w:p>
      <w:pPr>
        <w:snapToGrid w:val="0"/>
        <w:spacing w:line="3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（五）谈判费用：无论谈判结果如何，供应商参与本项目谈判的所有费用均应由供应商自行承担。</w:t>
      </w:r>
    </w:p>
    <w:p>
      <w:pPr>
        <w:snapToGrid w:val="0"/>
        <w:spacing w:line="380" w:lineRule="exact"/>
        <w:ind w:firstLine="360" w:firstLineChars="150"/>
        <w:rPr>
          <w:rFonts w:ascii="方正仿宋_GBK" w:eastAsia="方正仿宋_GBK"/>
          <w:sz w:val="24"/>
          <w:szCs w:val="24"/>
        </w:rPr>
      </w:pPr>
      <w:r>
        <w:rPr>
          <w:rFonts w:hint="eastAsia" w:ascii="方正仿宋_GBK" w:hAnsi="宋体" w:eastAsia="方正仿宋_GBK"/>
          <w:sz w:val="24"/>
          <w:szCs w:val="24"/>
        </w:rPr>
        <w:t>（六）</w:t>
      </w:r>
      <w:r>
        <w:rPr>
          <w:rFonts w:hint="eastAsia" w:ascii="方正仿宋_GBK" w:eastAsia="方正仿宋_GBK"/>
          <w:sz w:val="24"/>
          <w:szCs w:val="24"/>
        </w:rPr>
        <w:t>列入失信被执行人、重大税收违法案件当事人名单、政府采购严重违法失信行为记录名单及其他不符合《中华人民共和国政府采购法》第二十二条规定条件的供应商，将拒绝其参与政府采购活动。</w:t>
      </w:r>
    </w:p>
    <w:p>
      <w:pPr>
        <w:snapToGrid w:val="0"/>
        <w:spacing w:line="3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1.供应商可通过信用中国网站（</w:t>
      </w:r>
      <w:r>
        <w:fldChar w:fldCharType="begin"/>
      </w:r>
      <w:r>
        <w:instrText xml:space="preserve"> HYPERLINK "http://www.creditchina.gov.cn" </w:instrText>
      </w:r>
      <w:r>
        <w:fldChar w:fldCharType="separate"/>
      </w:r>
      <w:r>
        <w:rPr>
          <w:rFonts w:hint="eastAsia" w:ascii="方正仿宋_GBK" w:hAnsi="宋体" w:eastAsia="方正仿宋_GBK"/>
          <w:sz w:val="24"/>
          <w:szCs w:val="24"/>
        </w:rPr>
        <w:t>www.creditchina.gov.cn</w:t>
      </w:r>
      <w:r>
        <w:rPr>
          <w:rFonts w:hint="eastAsia" w:ascii="方正仿宋_GBK" w:hAnsi="宋体" w:eastAsia="方正仿宋_GBK"/>
          <w:sz w:val="24"/>
          <w:szCs w:val="24"/>
        </w:rPr>
        <w:fldChar w:fldCharType="end"/>
      </w:r>
      <w:r>
        <w:rPr>
          <w:rFonts w:hint="eastAsia" w:ascii="方正仿宋_GBK" w:hAnsi="宋体" w:eastAsia="方正仿宋_GBK"/>
          <w:sz w:val="24"/>
          <w:szCs w:val="24"/>
        </w:rPr>
        <w:t>）查询以下内容</w:t>
      </w:r>
    </w:p>
    <w:p>
      <w:pPr>
        <w:snapToGrid w:val="0"/>
        <w:spacing w:line="3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1.1“失信被执行人”；</w:t>
      </w:r>
    </w:p>
    <w:p>
      <w:pPr>
        <w:snapToGrid w:val="0"/>
        <w:spacing w:line="3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1.2“重大税收违法案件当事人名单”；</w:t>
      </w:r>
    </w:p>
    <w:p>
      <w:pPr>
        <w:snapToGrid w:val="0"/>
        <w:spacing w:line="3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2.供应商可通过中国政府采购网（www.ccgp.gov.cn）查询“政府采购严重违法失信行为记录名单”</w:t>
      </w:r>
      <w:bookmarkStart w:id="29" w:name="_Toc480466700"/>
    </w:p>
    <w:p>
      <w:pPr>
        <w:snapToGrid w:val="0"/>
        <w:spacing w:line="380" w:lineRule="exact"/>
        <w:ind w:firstLine="360" w:firstLineChars="150"/>
        <w:rPr>
          <w:rFonts w:ascii="方正仿宋_GBK" w:hAnsi="宋体" w:eastAsia="方正仿宋_GBK"/>
          <w:b/>
          <w:bCs/>
          <w:sz w:val="24"/>
          <w:szCs w:val="24"/>
        </w:rPr>
      </w:pPr>
      <w:bookmarkStart w:id="30" w:name="_Toc3549_WPSOffice_Level2"/>
      <w:r>
        <w:rPr>
          <w:rFonts w:hint="eastAsia" w:ascii="方正仿宋_GBK" w:eastAsia="方正仿宋_GBK"/>
          <w:b/>
          <w:bCs/>
          <w:sz w:val="24"/>
          <w:szCs w:val="24"/>
        </w:rPr>
        <w:t>八、谈判联系方式</w:t>
      </w:r>
      <w:bookmarkEnd w:id="29"/>
      <w:bookmarkEnd w:id="30"/>
    </w:p>
    <w:p>
      <w:pPr>
        <w:tabs>
          <w:tab w:val="left" w:pos="516"/>
        </w:tabs>
        <w:snapToGrid w:val="0"/>
        <w:spacing w:line="380" w:lineRule="exact"/>
        <w:ind w:firstLine="720" w:firstLineChars="300"/>
        <w:rPr>
          <w:rFonts w:ascii="方正仿宋_GBK" w:hAnsi="宋体" w:eastAsia="方正仿宋_GBK"/>
          <w:sz w:val="24"/>
          <w:szCs w:val="24"/>
        </w:rPr>
      </w:pPr>
      <w:r>
        <w:rPr>
          <w:rFonts w:hint="eastAsia" w:ascii="方正仿宋_GBK" w:hAnsi="宋体" w:eastAsia="方正仿宋_GBK"/>
          <w:sz w:val="24"/>
          <w:szCs w:val="24"/>
        </w:rPr>
        <w:t>1. 联系人和电话：汪老师 023-86277421（传真）；</w:t>
      </w:r>
    </w:p>
    <w:p>
      <w:pPr>
        <w:tabs>
          <w:tab w:val="left" w:pos="516"/>
        </w:tabs>
        <w:snapToGrid w:val="0"/>
        <w:spacing w:line="380" w:lineRule="exact"/>
        <w:ind w:firstLine="2640" w:firstLineChars="1100"/>
        <w:rPr>
          <w:rFonts w:ascii="方正仿宋_GBK" w:hAnsi="宋体" w:eastAsia="方正仿宋_GBK"/>
          <w:sz w:val="24"/>
          <w:szCs w:val="24"/>
        </w:rPr>
      </w:pPr>
      <w:r>
        <w:rPr>
          <w:rFonts w:hint="eastAsia" w:ascii="方正仿宋_GBK" w:hAnsi="宋体" w:eastAsia="方正仿宋_GBK"/>
          <w:sz w:val="24"/>
          <w:szCs w:val="24"/>
        </w:rPr>
        <w:t xml:space="preserve"> 黎老师 赵老师 邹老师 023- 65626068</w:t>
      </w:r>
    </w:p>
    <w:p>
      <w:pPr>
        <w:tabs>
          <w:tab w:val="left" w:pos="516"/>
        </w:tabs>
        <w:snapToGrid w:val="0"/>
        <w:spacing w:line="380" w:lineRule="exact"/>
        <w:ind w:firstLine="720" w:firstLineChars="300"/>
        <w:rPr>
          <w:rFonts w:ascii="方正仿宋_GBK" w:hAnsi="宋体" w:eastAsia="方正仿宋_GBK"/>
          <w:sz w:val="24"/>
          <w:szCs w:val="24"/>
        </w:rPr>
      </w:pPr>
      <w:r>
        <w:rPr>
          <w:rFonts w:hint="eastAsia" w:ascii="方正仿宋_GBK" w:hAnsi="宋体" w:eastAsia="方正仿宋_GBK"/>
          <w:sz w:val="24"/>
          <w:szCs w:val="24"/>
        </w:rPr>
        <w:t>2. 办公地址：重庆城市管理职业学院图书馆二楼1210室</w:t>
      </w:r>
    </w:p>
    <w:p>
      <w:pPr>
        <w:tabs>
          <w:tab w:val="left" w:pos="516"/>
        </w:tabs>
        <w:snapToGrid w:val="0"/>
        <w:spacing w:line="380" w:lineRule="exact"/>
        <w:ind w:firstLine="720" w:firstLineChars="300"/>
        <w:rPr>
          <w:rFonts w:ascii="方正仿宋_GBK" w:hAnsi="宋体" w:eastAsia="方正仿宋_GBK"/>
          <w:sz w:val="24"/>
          <w:szCs w:val="24"/>
        </w:rPr>
      </w:pPr>
      <w:r>
        <w:rPr>
          <w:rFonts w:hint="eastAsia" w:ascii="方正仿宋_GBK" w:hAnsi="宋体" w:eastAsia="方正仿宋_GBK"/>
          <w:sz w:val="24"/>
          <w:szCs w:val="24"/>
        </w:rPr>
        <w:t>3 采购人地址：重庆市沙坪坝区虎溪大学城南二路151号</w:t>
      </w:r>
    </w:p>
    <w:p>
      <w:pPr>
        <w:rPr>
          <w:rFonts w:ascii="方正小标宋_GBK" w:hAnsi="宋体" w:eastAsia="方正小标宋_GBK"/>
          <w:sz w:val="36"/>
          <w:szCs w:val="30"/>
        </w:rPr>
      </w:pPr>
      <w:bookmarkStart w:id="31" w:name="_Toc25720"/>
      <w:bookmarkStart w:id="32" w:name="_Toc102227313"/>
      <w:bookmarkStart w:id="33" w:name="_Toc10920"/>
      <w:r>
        <w:rPr>
          <w:rFonts w:hint="eastAsia" w:ascii="方正小标宋_GBK" w:hAnsi="宋体" w:eastAsia="方正小标宋_GBK"/>
          <w:sz w:val="36"/>
          <w:szCs w:val="30"/>
        </w:rPr>
        <w:br w:type="page"/>
      </w:r>
    </w:p>
    <w:bookmarkEnd w:id="31"/>
    <w:bookmarkEnd w:id="32"/>
    <w:bookmarkEnd w:id="33"/>
    <w:p>
      <w:pPr>
        <w:pStyle w:val="4"/>
        <w:spacing w:line="360" w:lineRule="auto"/>
        <w:jc w:val="center"/>
        <w:rPr>
          <w:rFonts w:ascii="方正小标宋_GBK" w:hAnsi="宋体" w:eastAsia="方正小标宋_GBK"/>
          <w:b w:val="0"/>
          <w:sz w:val="36"/>
          <w:szCs w:val="30"/>
        </w:rPr>
      </w:pPr>
      <w:bookmarkStart w:id="34" w:name="_Toc141_WPSOffice_Level1"/>
      <w:bookmarkStart w:id="35" w:name="_Toc14003"/>
      <w:bookmarkStart w:id="36" w:name="_Toc28869"/>
      <w:bookmarkStart w:id="37" w:name="_Toc20931"/>
      <w:r>
        <w:rPr>
          <w:rFonts w:hint="eastAsia" w:ascii="方正小标宋_GBK" w:hAnsi="宋体" w:eastAsia="方正小标宋_GBK"/>
          <w:b w:val="0"/>
          <w:sz w:val="36"/>
          <w:szCs w:val="30"/>
        </w:rPr>
        <w:t>第二篇 谈判项目技术需求</w:t>
      </w:r>
      <w:bookmarkEnd w:id="34"/>
      <w:bookmarkEnd w:id="35"/>
      <w:bookmarkEnd w:id="36"/>
      <w:bookmarkEnd w:id="37"/>
      <w:bookmarkStart w:id="38" w:name="_Toc12789058"/>
      <w:bookmarkStart w:id="39" w:name="_Toc4614"/>
      <w:bookmarkStart w:id="40" w:name="_Toc32386_WPSOffice_Level2"/>
      <w:bookmarkStart w:id="41" w:name="_Toc3295"/>
    </w:p>
    <w:p>
      <w:pPr>
        <w:spacing w:line="360" w:lineRule="auto"/>
        <w:jc w:val="left"/>
        <w:outlineLvl w:val="1"/>
        <w:rPr>
          <w:rFonts w:ascii="仿宋_GB2312" w:hAnsi="宋体" w:eastAsia="仿宋_GB2312" w:cs="宋体"/>
          <w:b/>
          <w:sz w:val="24"/>
          <w:szCs w:val="24"/>
        </w:rPr>
      </w:pPr>
      <w:bookmarkStart w:id="42" w:name="_Toc4896"/>
      <w:r>
        <w:rPr>
          <w:rFonts w:hint="eastAsia" w:ascii="方正仿宋_GBK" w:eastAsia="方正仿宋_GBK"/>
          <w:b/>
          <w:bCs/>
          <w:sz w:val="24"/>
          <w:szCs w:val="24"/>
        </w:rPr>
        <w:t>一、项目建设要求</w:t>
      </w:r>
      <w:bookmarkEnd w:id="42"/>
    </w:p>
    <w:p>
      <w:pPr>
        <w:pStyle w:val="5"/>
        <w:spacing w:line="240" w:lineRule="auto"/>
        <w:ind w:firstLine="480" w:firstLineChars="200"/>
        <w:jc w:val="left"/>
        <w:rPr>
          <w:rFonts w:hint="eastAsia" w:ascii="方正仿宋_GBK" w:hAnsi="宋体" w:eastAsia="方正仿宋_GBK"/>
          <w:b w:val="0"/>
          <w:bCs/>
          <w:color w:val="auto"/>
          <w:sz w:val="24"/>
          <w:szCs w:val="24"/>
          <w:lang w:val="en-US" w:eastAsia="zh-CN"/>
        </w:rPr>
      </w:pPr>
      <w:r>
        <w:rPr>
          <w:rFonts w:hint="eastAsia" w:ascii="方正仿宋_GBK" w:hAnsi="宋体" w:eastAsia="方正仿宋_GBK"/>
          <w:b w:val="0"/>
          <w:bCs/>
          <w:color w:val="auto"/>
          <w:sz w:val="24"/>
          <w:szCs w:val="24"/>
          <w:lang w:val="en-US" w:eastAsia="zh-CN"/>
        </w:rPr>
        <w:t>（一）项目建设目标</w:t>
      </w:r>
    </w:p>
    <w:p>
      <w:pPr>
        <w:pStyle w:val="5"/>
        <w:spacing w:line="240" w:lineRule="auto"/>
        <w:ind w:firstLine="480" w:firstLineChars="200"/>
        <w:jc w:val="left"/>
        <w:rPr>
          <w:rFonts w:hint="eastAsia" w:ascii="方正仿宋_GBK" w:hAnsi="宋体" w:eastAsia="方正仿宋_GBK"/>
          <w:b w:val="0"/>
          <w:bCs/>
          <w:color w:val="auto"/>
          <w:sz w:val="24"/>
          <w:szCs w:val="24"/>
          <w:lang w:val="en-US" w:eastAsia="zh-CN"/>
        </w:rPr>
      </w:pPr>
      <w:r>
        <w:rPr>
          <w:rFonts w:hint="eastAsia" w:ascii="方正仿宋_GBK" w:hAnsi="宋体" w:eastAsia="方正仿宋_GBK"/>
          <w:b w:val="0"/>
          <w:bCs/>
          <w:color w:val="auto"/>
          <w:sz w:val="24"/>
          <w:szCs w:val="24"/>
          <w:lang w:val="en-US" w:eastAsia="zh-CN"/>
        </w:rPr>
        <w:t>本扩建项目，所建设的关键内容包括支持各种传感器技术原理、传感器软硬件驱动设计、传感器数据采集及分析、传感器设备选型及应用方案设计、传感器应用项目实施及维护等课程体系；同时配套多种应用场景附属设备，兼容微控制技术实训室和无线通信实训室相关软硬件设备，支持物联网中间件的综合云实训平台。</w:t>
      </w:r>
    </w:p>
    <w:p>
      <w:pPr>
        <w:pStyle w:val="5"/>
        <w:spacing w:line="240" w:lineRule="auto"/>
        <w:ind w:firstLine="480" w:firstLineChars="200"/>
        <w:jc w:val="left"/>
        <w:rPr>
          <w:rFonts w:hint="eastAsia" w:ascii="方正仿宋_GBK" w:hAnsi="宋体" w:eastAsia="方正仿宋_GBK"/>
          <w:b w:val="0"/>
          <w:bCs/>
          <w:color w:val="auto"/>
          <w:sz w:val="24"/>
          <w:szCs w:val="24"/>
          <w:lang w:val="en-US" w:eastAsia="zh-CN"/>
        </w:rPr>
      </w:pPr>
      <w:r>
        <w:rPr>
          <w:rFonts w:hint="eastAsia" w:ascii="方正仿宋_GBK" w:hAnsi="宋体" w:eastAsia="方正仿宋_GBK"/>
          <w:b w:val="0"/>
          <w:bCs/>
          <w:color w:val="auto"/>
          <w:sz w:val="24"/>
          <w:szCs w:val="24"/>
          <w:lang w:val="en-US" w:eastAsia="zh-CN"/>
        </w:rPr>
        <w:t>整合数据采集、有线组网、短距离无线通信、低功耗窄带组网通信、通讯协议设计与应用等知识，搭配初级、中级、高级不同等级教材资料内容，实现从数据采集、组网通信到协议设计、应用的基础认知到实际项目工程的系统化学习过程，让学生以丰富的知识技能通过职业技能等级证书考核，推进“1”和“X”的有机衔接，提升职业教育质量和学生就业能力，同时在教材开发、培训实施上充分考虑到模块化、单元化及学分设计，</w:t>
      </w:r>
    </w:p>
    <w:p>
      <w:pPr>
        <w:pStyle w:val="5"/>
        <w:spacing w:line="240" w:lineRule="auto"/>
        <w:ind w:firstLine="480" w:firstLineChars="200"/>
        <w:jc w:val="left"/>
        <w:rPr>
          <w:rFonts w:hint="eastAsia" w:ascii="方正仿宋_GBK" w:hAnsi="宋体" w:eastAsia="方正仿宋_GBK"/>
          <w:b w:val="0"/>
          <w:bCs/>
          <w:color w:val="auto"/>
          <w:sz w:val="24"/>
          <w:szCs w:val="24"/>
          <w:lang w:val="en-US" w:eastAsia="zh-CN"/>
        </w:rPr>
      </w:pPr>
      <w:r>
        <w:rPr>
          <w:rFonts w:hint="eastAsia" w:ascii="方正仿宋_GBK" w:hAnsi="宋体" w:eastAsia="方正仿宋_GBK"/>
          <w:b w:val="0"/>
          <w:bCs/>
          <w:color w:val="auto"/>
          <w:sz w:val="24"/>
          <w:szCs w:val="24"/>
          <w:lang w:val="en-US" w:eastAsia="zh-CN"/>
        </w:rPr>
        <w:t>实训室建成后，将全面支撑学院师生开展传感网相关的教学与创新研究，能够很好的支持我院学生进行传感网应用开发的认证考试。</w:t>
      </w:r>
    </w:p>
    <w:p>
      <w:pPr>
        <w:pStyle w:val="5"/>
        <w:spacing w:line="240" w:lineRule="auto"/>
        <w:ind w:firstLine="480" w:firstLineChars="200"/>
        <w:jc w:val="left"/>
        <w:rPr>
          <w:rFonts w:hint="eastAsia" w:ascii="方正仿宋_GBK" w:hAnsi="宋体" w:eastAsia="方正仿宋_GBK"/>
          <w:b w:val="0"/>
          <w:bCs/>
          <w:color w:val="auto"/>
          <w:sz w:val="24"/>
          <w:szCs w:val="24"/>
          <w:lang w:val="en-US" w:eastAsia="zh-CN"/>
        </w:rPr>
      </w:pPr>
      <w:r>
        <w:rPr>
          <w:rFonts w:hint="eastAsia" w:ascii="方正仿宋_GBK" w:hAnsi="宋体" w:eastAsia="方正仿宋_GBK"/>
          <w:b w:val="0"/>
          <w:bCs/>
          <w:color w:val="auto"/>
          <w:sz w:val="24"/>
          <w:szCs w:val="24"/>
          <w:lang w:val="en-US" w:eastAsia="zh-CN"/>
        </w:rPr>
        <w:t xml:space="preserve"> （二）项目在教学、科研中的主要使用范围</w:t>
      </w:r>
    </w:p>
    <w:p>
      <w:pPr>
        <w:pStyle w:val="5"/>
        <w:spacing w:line="240" w:lineRule="auto"/>
        <w:ind w:firstLine="480" w:firstLineChars="200"/>
        <w:jc w:val="left"/>
        <w:rPr>
          <w:rFonts w:hint="eastAsia" w:ascii="方正仿宋_GBK" w:hAnsi="宋体" w:eastAsia="方正仿宋_GBK"/>
          <w:b w:val="0"/>
          <w:bCs/>
          <w:color w:val="auto"/>
          <w:sz w:val="24"/>
          <w:szCs w:val="24"/>
          <w:lang w:val="en-US" w:eastAsia="zh-CN"/>
        </w:rPr>
      </w:pPr>
      <w:r>
        <w:rPr>
          <w:rFonts w:hint="eastAsia" w:ascii="方正仿宋_GBK" w:hAnsi="宋体" w:eastAsia="方正仿宋_GBK"/>
          <w:b w:val="0"/>
          <w:bCs/>
          <w:color w:val="auto"/>
          <w:sz w:val="24"/>
          <w:szCs w:val="24"/>
          <w:lang w:val="en-US" w:eastAsia="zh-CN"/>
        </w:rPr>
        <w:t>主要面向物联网应用技术同学，进行物联网感知技术、物联网通信技术、单片机技术及应用、嵌入式开发技术、传感网应用开发、物联网综合实训的学习使用，也能够支持高职技能竞赛课程安排需求、全校选修课程的教学需求，以及本专业教师科研需求。</w:t>
      </w:r>
    </w:p>
    <w:p>
      <w:pPr>
        <w:pStyle w:val="5"/>
        <w:spacing w:line="240" w:lineRule="auto"/>
        <w:ind w:firstLine="480" w:firstLineChars="200"/>
        <w:jc w:val="left"/>
        <w:rPr>
          <w:rFonts w:hint="eastAsia" w:ascii="方正仿宋_GBK" w:hAnsi="宋体" w:eastAsia="方正仿宋_GBK"/>
          <w:b w:val="0"/>
          <w:bCs/>
          <w:color w:val="auto"/>
          <w:sz w:val="24"/>
          <w:szCs w:val="24"/>
          <w:lang w:val="en-US" w:eastAsia="zh-CN"/>
        </w:rPr>
      </w:pPr>
      <w:r>
        <w:rPr>
          <w:rFonts w:hint="eastAsia" w:ascii="方正仿宋_GBK" w:hAnsi="宋体" w:eastAsia="方正仿宋_GBK"/>
          <w:b w:val="0"/>
          <w:bCs/>
          <w:color w:val="auto"/>
          <w:sz w:val="24"/>
          <w:szCs w:val="24"/>
          <w:lang w:val="en-US" w:eastAsia="zh-CN"/>
        </w:rPr>
        <w:t>（三）资源共享及对外服务</w:t>
      </w:r>
    </w:p>
    <w:p>
      <w:pPr>
        <w:pStyle w:val="5"/>
        <w:spacing w:line="240" w:lineRule="auto"/>
        <w:ind w:firstLine="480" w:firstLineChars="200"/>
        <w:jc w:val="left"/>
        <w:rPr>
          <w:rFonts w:hint="eastAsia" w:ascii="方正仿宋_GBK" w:hAnsi="宋体" w:eastAsia="方正仿宋_GBK"/>
          <w:b w:val="0"/>
          <w:bCs/>
          <w:color w:val="auto"/>
          <w:sz w:val="24"/>
          <w:szCs w:val="24"/>
          <w:lang w:val="en-US" w:eastAsia="zh-CN"/>
        </w:rPr>
      </w:pPr>
      <w:r>
        <w:rPr>
          <w:rFonts w:hint="eastAsia" w:ascii="方正仿宋_GBK" w:hAnsi="宋体" w:eastAsia="方正仿宋_GBK"/>
          <w:b w:val="0"/>
          <w:bCs/>
          <w:color w:val="auto"/>
          <w:sz w:val="24"/>
          <w:szCs w:val="24"/>
          <w:lang w:val="en-US" w:eastAsia="zh-CN"/>
        </w:rPr>
        <w:t>物联网方向全院选修课，为选修同学提供上课场所，达到资源共享的目的；可以做嵌入式开发、HCIA-IoT认证、“1+X”传感网应用开发认证等培训。</w:t>
      </w:r>
    </w:p>
    <w:p>
      <w:pPr>
        <w:spacing w:line="360" w:lineRule="auto"/>
        <w:jc w:val="left"/>
        <w:outlineLvl w:val="1"/>
        <w:rPr>
          <w:rFonts w:hint="eastAsia" w:ascii="方正仿宋_GBK" w:eastAsia="方正仿宋_GBK"/>
          <w:b/>
          <w:bCs/>
          <w:sz w:val="24"/>
          <w:szCs w:val="24"/>
        </w:rPr>
      </w:pPr>
      <w:bookmarkStart w:id="43" w:name="_Toc25502"/>
    </w:p>
    <w:p>
      <w:pPr>
        <w:spacing w:line="360" w:lineRule="auto"/>
        <w:jc w:val="left"/>
        <w:outlineLvl w:val="1"/>
        <w:rPr>
          <w:rFonts w:ascii="方正仿宋_GBK" w:eastAsia="方正仿宋_GBK"/>
          <w:sz w:val="32"/>
          <w:szCs w:val="32"/>
        </w:rPr>
      </w:pPr>
      <w:r>
        <w:rPr>
          <w:rFonts w:hint="eastAsia" w:ascii="方正仿宋_GBK" w:eastAsia="方正仿宋_GBK"/>
          <w:b/>
          <w:bCs/>
          <w:sz w:val="24"/>
          <w:szCs w:val="24"/>
        </w:rPr>
        <w:t>二、采购清单</w:t>
      </w:r>
      <w:bookmarkEnd w:id="43"/>
    </w:p>
    <w:p>
      <w:pPr>
        <w:pStyle w:val="5"/>
        <w:spacing w:line="240" w:lineRule="auto"/>
        <w:ind w:firstLine="480" w:firstLineChars="200"/>
        <w:jc w:val="center"/>
        <w:rPr>
          <w:rFonts w:hint="eastAsia" w:ascii="方正仿宋_GBK" w:hAnsi="宋体" w:eastAsia="方正仿宋_GBK"/>
          <w:b w:val="0"/>
          <w:bCs/>
          <w:color w:val="auto"/>
          <w:sz w:val="24"/>
          <w:szCs w:val="24"/>
        </w:rPr>
      </w:pPr>
      <w:r>
        <w:rPr>
          <w:rFonts w:hint="eastAsia" w:ascii="方正仿宋_GBK" w:hAnsi="宋体" w:eastAsia="方正仿宋_GBK"/>
          <w:b w:val="0"/>
          <w:bCs/>
          <w:color w:val="auto"/>
          <w:sz w:val="24"/>
          <w:szCs w:val="24"/>
          <w:lang w:val="en-US" w:eastAsia="zh-CN"/>
        </w:rPr>
        <w:t>物联网1+X证书实训设备</w:t>
      </w:r>
      <w:r>
        <w:rPr>
          <w:rFonts w:hint="eastAsia" w:ascii="方正仿宋_GBK" w:hAnsi="宋体" w:eastAsia="方正仿宋_GBK"/>
          <w:b w:val="0"/>
          <w:bCs/>
          <w:color w:val="auto"/>
          <w:sz w:val="24"/>
          <w:szCs w:val="24"/>
        </w:rPr>
        <w:t>采购清单</w:t>
      </w:r>
    </w:p>
    <w:p>
      <w:pPr>
        <w:pStyle w:val="10"/>
        <w:shd w:val="clear" w:color="auto" w:fill="FFFFFF"/>
        <w:ind w:left="1440" w:hanging="1440"/>
        <w:rPr>
          <w:rFonts w:ascii="Times New Roman" w:hAnsi="Times New Roman" w:eastAsia="仿宋_GB2312"/>
          <w:kern w:val="0"/>
          <w:sz w:val="20"/>
          <w:szCs w:val="20"/>
        </w:rPr>
      </w:pPr>
      <w:r>
        <w:rPr>
          <w:rFonts w:ascii="Times New Roman" w:hAnsi="Times New Roman" w:eastAsia="仿宋_GB2312"/>
          <w:kern w:val="0"/>
          <w:sz w:val="24"/>
        </w:rPr>
        <w:t>计量单位：套、台、个、张              计价单位：元</w:t>
      </w:r>
    </w:p>
    <w:tbl>
      <w:tblPr>
        <w:tblStyle w:val="18"/>
        <w:tblW w:w="10575" w:type="dxa"/>
        <w:jc w:val="center"/>
        <w:tblLayout w:type="fixed"/>
        <w:tblCellMar>
          <w:top w:w="0" w:type="dxa"/>
          <w:left w:w="108" w:type="dxa"/>
          <w:bottom w:w="0" w:type="dxa"/>
          <w:right w:w="108" w:type="dxa"/>
        </w:tblCellMar>
      </w:tblPr>
      <w:tblGrid>
        <w:gridCol w:w="551"/>
        <w:gridCol w:w="799"/>
        <w:gridCol w:w="828"/>
        <w:gridCol w:w="1044"/>
        <w:gridCol w:w="5076"/>
        <w:gridCol w:w="660"/>
        <w:gridCol w:w="732"/>
        <w:gridCol w:w="885"/>
      </w:tblGrid>
      <w:tr>
        <w:tblPrEx>
          <w:tblCellMar>
            <w:top w:w="0" w:type="dxa"/>
            <w:left w:w="108" w:type="dxa"/>
            <w:bottom w:w="0" w:type="dxa"/>
            <w:right w:w="108" w:type="dxa"/>
          </w:tblCellMar>
        </w:tblPrEx>
        <w:trPr>
          <w:trHeight w:val="870" w:hRule="atLeast"/>
          <w:jc w:val="center"/>
        </w:trPr>
        <w:tc>
          <w:tcPr>
            <w:tcW w:w="5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序号</w:t>
            </w:r>
          </w:p>
        </w:tc>
        <w:tc>
          <w:tcPr>
            <w:tcW w:w="7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产品名称</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 xml:space="preserve">规格型号 </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参考图片</w:t>
            </w:r>
          </w:p>
        </w:tc>
        <w:tc>
          <w:tcPr>
            <w:tcW w:w="5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主要技术参数及功能要求</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华文仿宋" w:hAnsi="华文仿宋" w:eastAsia="华文仿宋" w:cs="华文仿宋"/>
                <w:sz w:val="24"/>
                <w:szCs w:val="24"/>
              </w:rPr>
            </w:pPr>
            <w:r>
              <w:rPr>
                <w:rFonts w:hint="eastAsia" w:ascii="华文仿宋" w:hAnsi="华文仿宋" w:eastAsia="华文仿宋" w:cs="华文仿宋"/>
                <w:kern w:val="0"/>
                <w:sz w:val="24"/>
                <w:szCs w:val="24"/>
              </w:rPr>
              <w:t>数量</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单价</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kern w:val="0"/>
                <w:sz w:val="24"/>
                <w:szCs w:val="24"/>
                <w:lang w:eastAsia="zh-CN"/>
              </w:rPr>
            </w:pPr>
            <w:r>
              <w:rPr>
                <w:rFonts w:hint="eastAsia" w:ascii="华文仿宋" w:hAnsi="华文仿宋" w:eastAsia="华文仿宋" w:cs="华文仿宋"/>
                <w:kern w:val="0"/>
                <w:sz w:val="24"/>
                <w:szCs w:val="24"/>
              </w:rPr>
              <w:t>金额</w:t>
            </w:r>
            <w:r>
              <w:rPr>
                <w:rFonts w:hint="eastAsia" w:ascii="华文仿宋" w:hAnsi="华文仿宋" w:eastAsia="华文仿宋" w:cs="华文仿宋"/>
                <w:kern w:val="0"/>
                <w:sz w:val="24"/>
                <w:szCs w:val="24"/>
                <w:lang w:eastAsia="zh-CN"/>
              </w:rPr>
              <w:t>（</w:t>
            </w:r>
            <w:r>
              <w:rPr>
                <w:rFonts w:hint="eastAsia" w:ascii="华文仿宋" w:hAnsi="华文仿宋" w:eastAsia="华文仿宋" w:cs="华文仿宋"/>
                <w:kern w:val="0"/>
                <w:sz w:val="24"/>
                <w:szCs w:val="24"/>
                <w:lang w:val="en-US" w:eastAsia="zh-CN"/>
              </w:rPr>
              <w:t>元</w:t>
            </w:r>
            <w:r>
              <w:rPr>
                <w:rFonts w:hint="eastAsia" w:ascii="华文仿宋" w:hAnsi="华文仿宋" w:eastAsia="华文仿宋" w:cs="华文仿宋"/>
                <w:kern w:val="0"/>
                <w:sz w:val="24"/>
                <w:szCs w:val="24"/>
                <w:lang w:eastAsia="zh-CN"/>
              </w:rPr>
              <w:t>）</w:t>
            </w:r>
          </w:p>
        </w:tc>
      </w:tr>
      <w:tr>
        <w:tblPrEx>
          <w:tblCellMar>
            <w:top w:w="0" w:type="dxa"/>
            <w:left w:w="108" w:type="dxa"/>
            <w:bottom w:w="0" w:type="dxa"/>
            <w:right w:w="108" w:type="dxa"/>
          </w:tblCellMar>
        </w:tblPrEx>
        <w:trPr>
          <w:trHeight w:val="300" w:hRule="atLeast"/>
          <w:jc w:val="center"/>
        </w:trPr>
        <w:tc>
          <w:tcPr>
            <w:tcW w:w="551" w:type="dxa"/>
            <w:tcBorders>
              <w:top w:val="single" w:color="auto" w:sz="4"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1</w:t>
            </w:r>
          </w:p>
        </w:tc>
        <w:tc>
          <w:tcPr>
            <w:tcW w:w="799" w:type="dxa"/>
            <w:tcBorders>
              <w:top w:val="single" w:color="auto" w:sz="4"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　传感网应用开发实训套件</w:t>
            </w:r>
          </w:p>
        </w:tc>
        <w:tc>
          <w:tcPr>
            <w:tcW w:w="828" w:type="dxa"/>
            <w:tcBorders>
              <w:top w:val="single" w:color="auto" w:sz="4"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 xml:space="preserve"> 　</w:t>
            </w:r>
          </w:p>
        </w:tc>
        <w:tc>
          <w:tcPr>
            <w:tcW w:w="1044" w:type="dxa"/>
            <w:tcBorders>
              <w:top w:val="single" w:color="auto" w:sz="4"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　/</w:t>
            </w:r>
          </w:p>
        </w:tc>
        <w:tc>
          <w:tcPr>
            <w:tcW w:w="5076" w:type="dxa"/>
            <w:tcBorders>
              <w:top w:val="single" w:color="auto" w:sz="4"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一、物联网云平台</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 xml:space="preserve">1.实现家居情景模式设定管理，灯光照明系统智能控制，家庭环境智能控制，智能化安防报警等功能； </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 xml:space="preserve">2.可在广域网中通过PC、移动智能终端、智能网关等设备登录此云平台； </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 xml:space="preserve">3.具备项目管理功能，提供定制化的项目中心集中管理； </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 xml:space="preserve">4.支持物联网SAAS项目的新建并支持授权API的自动生成功能； </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5.支持物联网云网关的配置，支持云网关的设备管理、编辑等功能；</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6.云平台与物联网项目云网关之间的心跳轮询时间可在3-15S之间灵活设置；</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 xml:space="preserve">7.需能提供多种的项目案例配置默认地址，至少提供智能家居安居、养殖案例等默认地址配置； </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8.兼容行业中常见的物联网功能节点，至少支持数字量Modbus、模拟量Modbus及Zigbee无线传输类型的节点管理；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9.支持至少15种以上常用传感器节点，支持温度、湿度、水温、水位、二氧化碳、光照、风速、大气压力、空气质量、重力、可燃气体、火焰、酒精、红外对射传感器等；</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10.同时支持手动与默认的物联网节点配置方案，提供至少一种默认节点配置方案；</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11.支持物联网节点的状态查询并按需控制；</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12.终生免费使用，并免费提供最新版本升级服务；</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13.提供公有云账号40个，免费使用5年。</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二、ZigBee协调器模块1个</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1.适用于2.4GHz、IEEE 802.15.4.ZigBee和 RF4CE 应用；</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2.支持ZigBee2007/ZigBee2007 PRO协议；</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3.可应用在2.4-GHz IEEE 802.15.4系统、RF4CE控制系统、ZigBee系统；</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4.Zigbee开发模块可以支持外置数字量输入通道，模拟量输入通道，数字量输入输出通道；</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5.支持多种无线网络组网模式：点对点通讯、星状通讯、树状通讯、广播通讯；</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6.具备RS-232通信接口；</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7.带USB2.0控制器，具备全速接口。</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三、ZigBee模块3个</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1.适用于2.4GHz、IEEE 802.15.4.ZigBee和 RF4CE 应用；</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2.支持ZigBee2007/ ZigBee2007 PRO协议；</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3.可应用在2.4-GHz IEEE 802.15.4系统、RF4CE控制系统、ZigBee系统；</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4.Zigbee开发模块可以支持外置数字量输入通道，模拟量输入通道，数字量输入输出通道；</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5.支持多种无线网络组网模式：点对点通讯、星状通讯、树状通讯、广播通讯。</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四、CAN模块4个</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1.支持ISO国际标准化的串行通信协议；</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2.通过CAN收发器接口芯片与物理总线相连；</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3.内置总线ESD保护：±16kV HBM；</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4.兼容ISO 11898-2标准；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5.总线支持≥120个节点的连接；</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6.数据速率至少1Mbps；</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7.支持三种工作模式：高速、低功耗、斜率控制。</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五、RS-485模块4个</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1.具备独立的RS-485通信总线，收发可控；</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2.内置TVS/ESD保护（HBM:±2kV），驱动器输出短路保护；</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3.3.3V供电，兼容5V逻辑电平接口；</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4.支持≥2个收发器的总线连接；</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5.传输速率至少10Mbps。</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六、NB-IoT模块2套</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1.内置Cortex-M3(32位），主频支持 32 kHz 到 32MHz，64K FLASH,16K RAM,4K EEPROM,支持ADC（12位）24个通道；</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2.支持频段B8(900MHz),B5(850MHz)；</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3.支持AT指令：3GPP TR 45.820和其它AT扩展指令；</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4.下载方式支持UART；</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5.数据传输</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1)数据传输:100bps&lt;bit rate&lt;100kbps ；</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2)协议栈:Supports 3GPP Rel.13 NB-IoT air interfaces and protocols [1]；</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3)调 制:Integrated radio transceiver, protocol processor and stack supporting BPSK and QPSK for OFDM downlink; BPSK and QPSK for SC-FDMA uplink；</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4)覆盖:Up to +20 dB extended coverage compared to GPRS (164 dB Maximum Coupling Loss)。</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6.电气特性</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1)Output Power ≤23dBm；</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2)灵敏度 ≤-129dBm；</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3)低功耗 ≤12uW。</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7.支持节点盒独立供电方式；</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8.支持OLED液晶；</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9.支持SWD调试接口；</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10.支持传感器扩展接口。</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七、LoRa模块4套</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1.模块工作电压：3.3V或5V；</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2.无线工作频段：401-510MHz；</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3.无线发射功率：Max. 19±1 dBm，接收灵敏度：-136±1dBm (@250bps)；</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4.采用LoRa 调制方式，同时兼容并支持FSK, GFSK,OOK 传统调制方式；</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5.支持硬件跳频（FHSS）；</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6.支持SPI/I2C接口的OLED屏；</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7.带扩展接口，可以连接传感器小模块；</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8.支持全速USB 2.0接口。</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八、蓝牙通讯模块2套</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1.采用 Bluetooth4.0标准芯片；</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2.射频频率：2.4GHz；</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3.支持低功耗工作模式，外部中断可唤醒系统；</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4.无线传输速率最高可达2Mbps；</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5.可编程功率输出最大可达4dBm。</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九、Wi-Fi通讯模块2套</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1.符合IEEE 802.11b/g/n标准；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2.至少32 位微型 MCU，主频支持 80 MHz 和160 MHz，10bit高精度ADC，支持 RTOS，内置TCP/IP协议栈；</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3.支持WEP/TKIP/AES数据加密；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4.支持WPA/WPA-PSK、WPA2/WPA2-PSK安全机制；</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5.支持Wi-Fi Direct(P2P)连接；</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6.支持工作模式：Station/SoftAP/SoftAP+Station；</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7.传输距离：室内30∼50米；室外50∼100米（典型可视环境下）。</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十、多功能底座6个</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1.支持USB供电，采用USB-B型母口；</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2.须内置不低于1000mAh可充电锂电池，其接入状态可通过滑动开关切换，并带有充电管理功能，电池充电状态通过指示灯提示（提供投标产品照片或宣传彩页(彩照)证明）；</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 xml:space="preserve">3.具备≥1个RS-485接口，可将NB-IOT、LoRa的实验模块连接到其它带有RS-485通信接口的设备（提供投标产品照片或宣传彩页(彩照)证明）； </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4.内置UART-USB2.0转换电路，实现实验模块与PC机的数据通信。</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十一、物联网网关1个</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1.处理器主频不低于580MHz；内部集成了DDR2控制器 、SPI控制器接口、PCI-E控制器、TF卡等接口，硬件资源丰富，能够作为高端产品的高性能CPU使用；</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2.Ethernet接口：网关内部集成了10/100自适应以太网，可直接实现LAN口及WAN口功能，每一个完整的收发器通过网口变压器连接到网口，遵循IEEE802.3和IEEE802.3u规范；</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3.WIFI：</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1)符合IEEE 802.11b/g/n标准；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2)支持2.4G 300MHz全功能无线路由；</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3)支持WEP/TKIP/AES数据加密；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4)支持WPA/WPA-PSK、WPA2/WPA2-PSK安全机制；</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5)支持Wi-Fi Direct(P2P)连接；</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6)支持工作模式：Station/SoftAP/SoftAP+Station；</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7)传输距离：室内30∼50米；室外50∼100米（典型可视环境下）。</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4.安全：使用硬件加密芯片，包含EEPROM 阵列，可用于存储至少16 个密钥、证书、其他读/写、只读或密码数据、使用记录和安全配置。可通过多种方式限制对存储器各个部分的访问，并且可以锁定配置以防止更改；可通过标准I2C 接口至少1 Mb/s 的速度访问器件。芯片可采用椭圆曲线加密和ECDSA 签名协议实施完整的非对称（公钥/私钥）加密签名解决方案。该器件可对NIST 标准P256 主曲线进行硬件加速，并支持从高质量私钥生成到ECDSA 签名生成、ECDH 密钥协议和ECDSA 公钥签名验证的完整密钥生命周期。此外，芯片还可以在硬件中实施AES-128、SHA256 以及多种SHA 衍生品，如HMAC（SHA）、PRF（TLS 中的密钥派生功能）和HKDF。便于GCM 加密/解密/身份验证，支持Galois Field Multiply（又名Ghash）。</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5.其他接口：具备电源接口；TF卡槽；RS-232接口≥4个；RS-485接口≥2个。</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十二、报警灯1个</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1.发光材料：LED；</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2.工作电流：不高于120mA；</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3.频闪速度：至少90次/分钟。</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十三、灯泡1个</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1.标准螺口带底盒灯座；</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2.LED照明灯。</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十四、继电器模块2个</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1.至少两路控制继电器；</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2.继电器规格为7A-240VAC，10A-24VDC，10A-110VAC。</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十五、可定义传感器（支持模拟输出）2个</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1.支持通过服务下发的方式，对传感器类型、连接方式、传输协议和生成数据进行自定义；</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2.可定义传感器可模拟出多种传感器数据并输出模拟信号，提供演示视频。</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3.工作电压：DC，12V@1A；</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4.通讯协议：支持WiFi、RS-485通讯。</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WiFi技术参数：</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1）兼容IEEE 802.11 b/g/n协议，内置完整TCP/IP协议栈；</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2）WiFi@2.4GHz，支持WPA/WPA2安全模式；</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3）支持TCP、UDP、HTTP、FTP；</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4）支持Station/SoftAP/SoftAP+Station无线网络模式。</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5.输出：</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1）具备1路12-bit电流源输出，输出电流范围可编程设置为4-20 mA、0-20 mA或者0-24 mA，输出温漂±3ppm/℃；</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2）具备1路12-bit DAC输出，采样率最高3.2Msps，输出电压≤3.3V；</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具备1路脉冲输出（3.3V逻辑电平，非隔离）。</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十六、模拟量传感模块1套</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输出信号是电压型模拟量的传感器组合，用于光照度、气体浓度传感实验。</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光敏传感器模块：</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1.暗电流≤0.2μA；</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2.亮电流：4μA∼40μA(Vdd=5V,10Lux,Rss=1kΩ)；</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3.感光光谱：880~1050 nm；</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4.功耗≤50mW，电流≤30μA。</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可燃性气体传感器：</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1.回路电压±5V，加热电压最高直流24V；</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2.对甲烷、乙烷、丙烷等可燃性气体灵敏度高；</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3.测量范围：500~10000ppm；</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4.灵敏度（电阻比）：0.60±0.05；</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5.加热器功耗≤835mW。</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空气质量传感器：</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1.加热器电压5V±0.2V AC/DC，回路电压5V±0.2V DC；</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2.对VOC、氨气、硫化氢等气体灵敏度高；</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3.加热器功耗≤280mW；</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4.灵敏度（传感器电阻变化率）：0.15~0.5。</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十七、数字量传感模块1套</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输出信号是数字量的传感器组合，用于温度、湿度、心率等传感实验。</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温湿度传感模块规格：</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1.工作电压：3.3V或5V；</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2.电容式传感器测量相对湿度，带隙传感器测量温度；</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3.默认测量分辨率为温度14 位、湿度12 位，可通过给状态寄存器发送命令将其降低为温度12 位、湿度8 位；</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4.湿度测量范围：0～100% RH，温度测量范围：-40～+123.8℃；</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5.湿度测量精度：±3.0%RH，温度测量精度：±0.4℃；</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6.全量程标定；</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7.两线串行通信接口。</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心率传感模块规格：</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1.工作电压：3.3V或5V；</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2.集成心率监测仪和脉搏血氧仪功能；</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3.I2C通信接口，并带中断信号输出，逻辑电平均为3.3V；</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4.可编程采样率和LED电流，低功耗。</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十八、开关量传感模块1套</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输出信号是开关量的传感器组合，用于热释电红外、火焰、声音等传感实验。</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热释电红外传感器：</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1.工作电压：3.3V或5V；</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2.信号输出信号电平：高3.3V/低0V；</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3.感应范围：&lt;120度锥角，7米以内；</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4.延迟时间：可调（0.3秒~10分钟）；</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5.封锁时间：0.2秒；</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6.触发方式：L不可重复，H可重复，默认值为H。</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声音传感模块：</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1.灵敏度：-48~66dB；</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2.频响范围：50~20kHz；</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3.方向特性：全指向；</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4.信噪比：&gt;58dB；</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5.声音信号强度阈值电位器可调。</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火焰传感模块：</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1.探测波长：700~1100 nm；</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2.供电电压：3.3V或5.5V；</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3.探测距离：&gt;1.5m；</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4.带有开关量和模拟量两种输出。</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十九、应用开发配件</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1.至少包含线材1套、仿真器1个、接口转换器1个；</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2.提供传感网应用开发实训教程，现场备查。　</w:t>
            </w:r>
          </w:p>
        </w:tc>
        <w:tc>
          <w:tcPr>
            <w:tcW w:w="660" w:type="dxa"/>
            <w:tcBorders>
              <w:top w:val="single" w:color="auto" w:sz="4"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4　</w:t>
            </w:r>
          </w:p>
        </w:tc>
        <w:tc>
          <w:tcPr>
            <w:tcW w:w="732" w:type="dxa"/>
            <w:tcBorders>
              <w:top w:val="single" w:color="auto" w:sz="4"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kern w:val="0"/>
                <w:sz w:val="24"/>
                <w:szCs w:val="24"/>
              </w:rPr>
            </w:pPr>
          </w:p>
        </w:tc>
        <w:tc>
          <w:tcPr>
            <w:tcW w:w="885" w:type="dxa"/>
            <w:tcBorders>
              <w:top w:val="single" w:color="auto" w:sz="4"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kern w:val="0"/>
                <w:sz w:val="24"/>
                <w:szCs w:val="24"/>
              </w:rPr>
            </w:pPr>
          </w:p>
        </w:tc>
      </w:tr>
      <w:tr>
        <w:tblPrEx>
          <w:tblCellMar>
            <w:top w:w="0" w:type="dxa"/>
            <w:left w:w="108" w:type="dxa"/>
            <w:bottom w:w="0" w:type="dxa"/>
            <w:right w:w="108" w:type="dxa"/>
          </w:tblCellMar>
        </w:tblPrEx>
        <w:trPr>
          <w:trHeight w:val="300" w:hRule="atLeast"/>
          <w:jc w:val="center"/>
        </w:trPr>
        <w:tc>
          <w:tcPr>
            <w:tcW w:w="551" w:type="dxa"/>
            <w:tcBorders>
              <w:top w:val="single" w:color="auto" w:sz="4"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2</w:t>
            </w:r>
          </w:p>
        </w:tc>
        <w:tc>
          <w:tcPr>
            <w:tcW w:w="799" w:type="dxa"/>
            <w:tcBorders>
              <w:top w:val="single" w:color="auto" w:sz="4"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实训平台</w:t>
            </w:r>
          </w:p>
        </w:tc>
        <w:tc>
          <w:tcPr>
            <w:tcW w:w="828" w:type="dxa"/>
            <w:tcBorders>
              <w:top w:val="single" w:color="auto" w:sz="4"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定制</w:t>
            </w:r>
          </w:p>
        </w:tc>
        <w:tc>
          <w:tcPr>
            <w:tcW w:w="1044" w:type="dxa"/>
            <w:tcBorders>
              <w:top w:val="single" w:color="auto" w:sz="4"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w:t>
            </w:r>
          </w:p>
        </w:tc>
        <w:tc>
          <w:tcPr>
            <w:tcW w:w="5076" w:type="dxa"/>
            <w:tcBorders>
              <w:top w:val="single" w:color="auto" w:sz="4" w:space="0"/>
              <w:left w:val="nil"/>
              <w:bottom w:val="single" w:color="000000"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一、传感网应用开发实训操作平台底座1个</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1.底座须能够提供至少3种不同安全电压等级的独立电源输出接口（提供投标产品样品照片或宣传彩页(彩照)证明）；</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2.底座须支持自主电路搭建，内嵌集成电路实验板（面包板）（提供投标产品样品照片或宣传彩页(彩照)证明）；</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3.底座须支持“通讯”与“自动”两种通信模式，并支持面板一键切换（提供投标产品样品照片或宣传彩页(彩照)证明）；</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4.支持与PC及Android设备联机实验；</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5.底座具备实验模块在线监测功能,现场进行演示。</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6.底座支持多种课程实训；</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7.为利于实验的操作性与后期相关技术升级，底座与模块采用非固定式磁性吸合连接方式，不接受螺丝或针脚固定方式；</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8.底座须经过可靠性验证，平台实验模块槽与教学模块之间采用弹性探针触点方式供电及提供信号传输。</w:t>
            </w:r>
          </w:p>
        </w:tc>
        <w:tc>
          <w:tcPr>
            <w:tcW w:w="660" w:type="dxa"/>
            <w:tcBorders>
              <w:top w:val="single" w:color="auto" w:sz="4" w:space="0"/>
              <w:left w:val="single" w:color="auto" w:sz="4" w:space="0"/>
              <w:bottom w:val="single" w:color="000000"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4</w:t>
            </w:r>
          </w:p>
        </w:tc>
        <w:tc>
          <w:tcPr>
            <w:tcW w:w="732" w:type="dxa"/>
            <w:tcBorders>
              <w:top w:val="single" w:color="auto" w:sz="4" w:space="0"/>
              <w:left w:val="single" w:color="auto" w:sz="4"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kern w:val="0"/>
                <w:sz w:val="24"/>
                <w:szCs w:val="24"/>
              </w:rPr>
            </w:pPr>
          </w:p>
        </w:tc>
        <w:tc>
          <w:tcPr>
            <w:tcW w:w="885" w:type="dxa"/>
            <w:tcBorders>
              <w:top w:val="single" w:color="auto" w:sz="4" w:space="0"/>
              <w:left w:val="nil"/>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kern w:val="0"/>
                <w:sz w:val="24"/>
                <w:szCs w:val="24"/>
              </w:rPr>
            </w:pPr>
          </w:p>
        </w:tc>
      </w:tr>
      <w:tr>
        <w:tblPrEx>
          <w:tblCellMar>
            <w:top w:w="0" w:type="dxa"/>
            <w:left w:w="108" w:type="dxa"/>
            <w:bottom w:w="0" w:type="dxa"/>
            <w:right w:w="108" w:type="dxa"/>
          </w:tblCellMar>
        </w:tblPrEx>
        <w:trPr>
          <w:trHeight w:val="300" w:hRule="atLeast"/>
          <w:jc w:val="center"/>
        </w:trPr>
        <w:tc>
          <w:tcPr>
            <w:tcW w:w="551" w:type="dxa"/>
            <w:tcBorders>
              <w:top w:val="single" w:color="auto" w:sz="4" w:space="0"/>
              <w:left w:val="single" w:color="000000" w:sz="8" w:space="0"/>
              <w:bottom w:val="single" w:color="auto"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3</w:t>
            </w:r>
          </w:p>
        </w:tc>
        <w:tc>
          <w:tcPr>
            <w:tcW w:w="799" w:type="dxa"/>
            <w:tcBorders>
              <w:top w:val="single" w:color="auto" w:sz="4" w:space="0"/>
              <w:left w:val="nil"/>
              <w:bottom w:val="single" w:color="auto"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嵌入式实训套件</w:t>
            </w:r>
          </w:p>
        </w:tc>
        <w:tc>
          <w:tcPr>
            <w:tcW w:w="828" w:type="dxa"/>
            <w:tcBorders>
              <w:top w:val="single" w:color="auto" w:sz="4" w:space="0"/>
              <w:left w:val="nil"/>
              <w:bottom w:val="single" w:color="auto"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定制</w:t>
            </w:r>
          </w:p>
        </w:tc>
        <w:tc>
          <w:tcPr>
            <w:tcW w:w="1044" w:type="dxa"/>
            <w:tcBorders>
              <w:top w:val="single" w:color="auto" w:sz="4" w:space="0"/>
              <w:left w:val="nil"/>
              <w:bottom w:val="single" w:color="auto"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w:t>
            </w:r>
          </w:p>
        </w:tc>
        <w:tc>
          <w:tcPr>
            <w:tcW w:w="50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1.本系统中应至少包含M3核心模块1个、键盘模块1个、LCD模块1个、以及智慧盒1个和仿真器模块1个。</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2.内嵌32位Cortex-M3处理器，核心频率约72Hz，不小于128KB Flash，20KB SRAM。</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3.CPU的控制管脚及功能脚全部引出测试环，便于同步信号测量。</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4.含数字时钟实验，支持通过数码管动态显示时、分、秒，支持通过键盘模块联动设置时钟功能。</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5.支持Flash、EEPROM、SRAM 等外部存储模块的数据存储和读取。</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6.支持通过IIC总线读取芯片中的时间数据，在LCD屏中显示实时时间，并且可以设置调整芯片中的时钟值。</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7.支持在LCD屏显示ADC采样得到的数据。</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须配套实验所用耗材包及相关实验教程书。（提供配套实训教程，现场备查）</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20</w:t>
            </w:r>
          </w:p>
        </w:tc>
        <w:tc>
          <w:tcPr>
            <w:tcW w:w="732" w:type="dxa"/>
            <w:tcBorders>
              <w:top w:val="sing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kern w:val="0"/>
                <w:sz w:val="24"/>
                <w:szCs w:val="24"/>
              </w:rPr>
            </w:pPr>
          </w:p>
        </w:tc>
        <w:tc>
          <w:tcPr>
            <w:tcW w:w="885" w:type="dxa"/>
            <w:tcBorders>
              <w:top w:val="single" w:color="auto" w:sz="4" w:space="0"/>
              <w:left w:val="nil"/>
              <w:bottom w:val="single" w:color="auto"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kern w:val="0"/>
                <w:sz w:val="24"/>
                <w:szCs w:val="24"/>
              </w:rPr>
            </w:pPr>
          </w:p>
        </w:tc>
      </w:tr>
      <w:tr>
        <w:tblPrEx>
          <w:tblCellMar>
            <w:top w:w="0" w:type="dxa"/>
            <w:left w:w="108" w:type="dxa"/>
            <w:bottom w:w="0" w:type="dxa"/>
            <w:right w:w="108" w:type="dxa"/>
          </w:tblCellMar>
        </w:tblPrEx>
        <w:trPr>
          <w:trHeight w:val="300" w:hRule="atLeast"/>
          <w:jc w:val="center"/>
        </w:trPr>
        <w:tc>
          <w:tcPr>
            <w:tcW w:w="5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合计</w:t>
            </w:r>
          </w:p>
        </w:tc>
        <w:tc>
          <w:tcPr>
            <w:tcW w:w="774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b/>
                <w:bCs/>
                <w:kern w:val="0"/>
                <w:sz w:val="24"/>
                <w:szCs w:val="24"/>
              </w:rPr>
              <w:t>人民币大写：</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w:t>
            </w:r>
          </w:p>
        </w:tc>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kern w:val="0"/>
                <w:sz w:val="24"/>
                <w:szCs w:val="24"/>
              </w:rPr>
              <w:t>　/</w:t>
            </w:r>
          </w:p>
        </w:tc>
        <w:tc>
          <w:tcPr>
            <w:tcW w:w="88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p>
        </w:tc>
      </w:tr>
      <w:tr>
        <w:tblPrEx>
          <w:tblCellMar>
            <w:top w:w="0" w:type="dxa"/>
            <w:left w:w="108" w:type="dxa"/>
            <w:bottom w:w="0" w:type="dxa"/>
            <w:right w:w="108" w:type="dxa"/>
          </w:tblCellMar>
        </w:tblPrEx>
        <w:trPr>
          <w:trHeight w:val="300" w:hRule="atLeast"/>
          <w:jc w:val="center"/>
        </w:trPr>
        <w:tc>
          <w:tcPr>
            <w:tcW w:w="10575"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华文仿宋" w:hAnsi="华文仿宋" w:eastAsia="华文仿宋" w:cs="华文仿宋"/>
                <w:kern w:val="0"/>
                <w:sz w:val="24"/>
                <w:szCs w:val="24"/>
              </w:rPr>
            </w:pPr>
            <w:r>
              <w:rPr>
                <w:rFonts w:hint="eastAsia" w:ascii="华文仿宋" w:hAnsi="华文仿宋" w:eastAsia="华文仿宋" w:cs="华文仿宋"/>
                <w:b/>
                <w:bCs/>
                <w:kern w:val="0"/>
                <w:sz w:val="24"/>
                <w:szCs w:val="24"/>
              </w:rPr>
              <w:t>备注：本项目报价包括货物、技术资料、货物的税费、运杂费、保险费、包装费、装卸费、安装及调试费用等，与本项目有关的所有税费均由乙方负担。</w:t>
            </w:r>
          </w:p>
        </w:tc>
      </w:tr>
    </w:tbl>
    <w:p>
      <w:pPr>
        <w:pStyle w:val="10"/>
        <w:shd w:val="clear" w:color="auto" w:fill="FFFFFF"/>
        <w:spacing w:line="400" w:lineRule="exact"/>
        <w:jc w:val="center"/>
        <w:rPr>
          <w:rFonts w:hint="eastAsia" w:ascii="仿宋" w:hAnsi="仿宋" w:eastAsia="仿宋" w:cs="仿宋"/>
          <w:b/>
          <w:sz w:val="24"/>
          <w:szCs w:val="24"/>
        </w:rPr>
      </w:pPr>
    </w:p>
    <w:p>
      <w:pPr>
        <w:spacing w:line="240" w:lineRule="atLeast"/>
        <w:ind w:firstLine="482" w:firstLineChars="200"/>
        <w:rPr>
          <w:b/>
          <w:bCs/>
          <w:sz w:val="24"/>
          <w:szCs w:val="24"/>
        </w:rPr>
      </w:pPr>
    </w:p>
    <w:p>
      <w:pPr>
        <w:jc w:val="left"/>
        <w:outlineLvl w:val="1"/>
        <w:rPr>
          <w:rFonts w:ascii="方正仿宋_GBK" w:eastAsia="方正仿宋_GBK"/>
          <w:b/>
          <w:bCs/>
          <w:sz w:val="24"/>
          <w:szCs w:val="24"/>
        </w:rPr>
      </w:pPr>
      <w:bookmarkStart w:id="44" w:name="_Toc7306"/>
    </w:p>
    <w:bookmarkEnd w:id="38"/>
    <w:bookmarkEnd w:id="39"/>
    <w:bookmarkEnd w:id="40"/>
    <w:bookmarkEnd w:id="41"/>
    <w:bookmarkEnd w:id="44"/>
    <w:p>
      <w:pPr>
        <w:pStyle w:val="5"/>
        <w:spacing w:line="360" w:lineRule="auto"/>
        <w:jc w:val="center"/>
        <w:rPr>
          <w:rFonts w:ascii="方正小标宋_GBK" w:hAnsi="宋体" w:eastAsia="方正小标宋_GBK"/>
          <w:b w:val="0"/>
          <w:sz w:val="36"/>
          <w:szCs w:val="30"/>
        </w:rPr>
      </w:pPr>
      <w:bookmarkStart w:id="45" w:name="_Toc8066"/>
      <w:bookmarkStart w:id="46" w:name="_Toc12789059"/>
      <w:bookmarkStart w:id="47" w:name="_Toc11641055"/>
      <w:r>
        <w:rPr>
          <w:rFonts w:hint="eastAsia" w:ascii="方正小标宋_GBK" w:hAnsi="宋体" w:eastAsia="方正小标宋_GBK"/>
          <w:b w:val="0"/>
          <w:sz w:val="36"/>
          <w:szCs w:val="30"/>
        </w:rPr>
        <w:t>第三篇 谈判项目服务需求</w:t>
      </w:r>
      <w:bookmarkEnd w:id="45"/>
    </w:p>
    <w:p>
      <w:pPr>
        <w:pStyle w:val="5"/>
        <w:spacing w:line="240" w:lineRule="auto"/>
        <w:rPr>
          <w:rFonts w:ascii="方正仿宋_GBK" w:hAnsi="宋体" w:eastAsia="方正仿宋_GBK"/>
          <w:color w:val="auto"/>
          <w:sz w:val="24"/>
          <w:szCs w:val="24"/>
        </w:rPr>
      </w:pPr>
      <w:bookmarkStart w:id="48" w:name="_Toc18069"/>
      <w:r>
        <w:rPr>
          <w:rFonts w:hint="eastAsia" w:ascii="方正仿宋_GBK" w:hAnsi="宋体" w:eastAsia="方正仿宋_GBK"/>
          <w:color w:val="auto"/>
          <w:sz w:val="24"/>
          <w:szCs w:val="24"/>
        </w:rPr>
        <w:t>一、交货时间、地点及验收要求</w:t>
      </w:r>
      <w:bookmarkEnd w:id="48"/>
    </w:p>
    <w:p>
      <w:pPr>
        <w:pStyle w:val="5"/>
        <w:spacing w:line="240" w:lineRule="auto"/>
        <w:ind w:firstLine="720" w:firstLineChars="300"/>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1、交货时间：从签订合同之日起15个日历日内交货；</w:t>
      </w:r>
    </w:p>
    <w:p>
      <w:pPr>
        <w:pStyle w:val="5"/>
        <w:spacing w:line="240" w:lineRule="auto"/>
        <w:ind w:firstLine="720" w:firstLineChars="300"/>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2、交货地点：重庆城市管理职业学院指定地点。</w:t>
      </w:r>
    </w:p>
    <w:p>
      <w:pPr>
        <w:pStyle w:val="5"/>
        <w:spacing w:line="240" w:lineRule="auto"/>
        <w:ind w:firstLine="720" w:firstLineChars="300"/>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3、验收要求</w:t>
      </w:r>
    </w:p>
    <w:p>
      <w:pPr>
        <w:pStyle w:val="5"/>
        <w:spacing w:line="240" w:lineRule="auto"/>
        <w:ind w:firstLine="480" w:firstLineChars="200"/>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3.1所购货物由中标单位按合同约定时间、地点送货并安装。</w:t>
      </w:r>
    </w:p>
    <w:p>
      <w:pPr>
        <w:pStyle w:val="5"/>
        <w:spacing w:line="240" w:lineRule="auto"/>
        <w:ind w:firstLine="480" w:firstLineChars="200"/>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3.2验收合格的标准</w:t>
      </w:r>
    </w:p>
    <w:p>
      <w:pPr>
        <w:pStyle w:val="5"/>
        <w:spacing w:line="240" w:lineRule="auto"/>
        <w:ind w:firstLine="480" w:firstLineChars="200"/>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（1）项目技术参数与采购合同一致，性能指标达到规定的标准。</w:t>
      </w:r>
    </w:p>
    <w:p>
      <w:pPr>
        <w:pStyle w:val="5"/>
        <w:spacing w:line="240" w:lineRule="auto"/>
        <w:ind w:firstLine="480" w:firstLineChars="200"/>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（2）在系统试运行期间所出现的问题得到解决，并运行正常。</w:t>
      </w:r>
    </w:p>
    <w:p>
      <w:pPr>
        <w:pStyle w:val="5"/>
        <w:spacing w:line="240" w:lineRule="auto"/>
        <w:ind w:firstLine="480" w:firstLineChars="200"/>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（3）由采购人组织对货物进行验收，根据服务及质量要求或需求说明文档中提供的各个角色对项目各功能进行功能演示，所有模块功能需运行稳定正常。</w:t>
      </w:r>
    </w:p>
    <w:p>
      <w:pPr>
        <w:pStyle w:val="5"/>
        <w:spacing w:line="240" w:lineRule="auto"/>
        <w:ind w:firstLine="480" w:firstLineChars="200"/>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3.3验收时间</w:t>
      </w:r>
    </w:p>
    <w:p>
      <w:pPr>
        <w:pStyle w:val="5"/>
        <w:spacing w:line="240" w:lineRule="auto"/>
        <w:ind w:firstLine="480" w:firstLineChars="200"/>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供应商应在合同签订后15个日历日内完成安装调试、提出验收申请。提出验收申请时，应同时提交验收所需的全部材料。采购人在供应商提交全部验收材料和验收申请后5个日历日内组织验收，验收合格后出具验收报告。</w:t>
      </w:r>
    </w:p>
    <w:p>
      <w:pPr>
        <w:pStyle w:val="5"/>
        <w:spacing w:line="240" w:lineRule="auto"/>
        <w:rPr>
          <w:rFonts w:ascii="方正仿宋_GBK" w:hAnsi="宋体" w:eastAsia="方正仿宋_GBK"/>
          <w:color w:val="auto"/>
          <w:sz w:val="24"/>
          <w:szCs w:val="24"/>
        </w:rPr>
      </w:pPr>
      <w:bookmarkStart w:id="49" w:name="_Toc21980"/>
      <w:r>
        <w:rPr>
          <w:rFonts w:hint="eastAsia" w:ascii="方正仿宋_GBK" w:hAnsi="宋体" w:eastAsia="方正仿宋_GBK"/>
          <w:color w:val="auto"/>
          <w:sz w:val="24"/>
          <w:szCs w:val="24"/>
        </w:rPr>
        <w:t>二、质量保证及售后服务要求</w:t>
      </w:r>
      <w:bookmarkEnd w:id="49"/>
    </w:p>
    <w:p>
      <w:pPr>
        <w:pStyle w:val="5"/>
        <w:spacing w:line="240" w:lineRule="auto"/>
        <w:ind w:firstLine="480" w:firstLineChars="200"/>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1、质量保证期及免费维保期：自验收合格之日起3年。</w:t>
      </w:r>
    </w:p>
    <w:p>
      <w:pPr>
        <w:pStyle w:val="5"/>
        <w:spacing w:line="240" w:lineRule="auto"/>
        <w:ind w:firstLine="480" w:firstLineChars="200"/>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2、所供产品属于国家规定“三包”范围的，其产品质量保证期不得低于“三包”规定。</w:t>
      </w:r>
    </w:p>
    <w:p>
      <w:pPr>
        <w:pStyle w:val="5"/>
        <w:spacing w:line="240" w:lineRule="auto"/>
        <w:ind w:firstLine="480" w:firstLineChars="200"/>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3、供应商的质量保证期承诺优于国家“三包”规定的，按供应商实际承诺执行。</w:t>
      </w:r>
    </w:p>
    <w:p>
      <w:pPr>
        <w:pStyle w:val="5"/>
        <w:spacing w:line="240" w:lineRule="auto"/>
        <w:ind w:firstLine="480" w:firstLineChars="200"/>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4、所供产品由制造商（指产品生产制造商，或其负责销售、售后服务机构，以下同）负责标准售后服务的，应当在响应文件中予以明确说明,并附制造商售后服务承诺。</w:t>
      </w:r>
    </w:p>
    <w:p>
      <w:pPr>
        <w:pStyle w:val="5"/>
        <w:spacing w:line="240" w:lineRule="auto"/>
        <w:ind w:firstLine="480" w:firstLineChars="200"/>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5、 供应商提供的全部货物质量符合国家标准，所供产品是正品全新的、未使用过的，采用质量优良的材料以及良好的工艺设计和制造，并经检测，试验完全符合规定的质量、规格和性能的要求。</w:t>
      </w:r>
    </w:p>
    <w:p>
      <w:pPr>
        <w:pStyle w:val="5"/>
        <w:spacing w:line="240" w:lineRule="auto"/>
        <w:ind w:firstLine="480" w:firstLineChars="200"/>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6、 供应商保证在合同货物出现故障和缺陷时，或接到使用方提出的技术服务要求后1小时内予以答复，通过电话或网络提供服务。当问题不能通过远程解决时，供应商承诺2个工作日内提供上门服务。</w:t>
      </w:r>
    </w:p>
    <w:p>
      <w:pPr>
        <w:pStyle w:val="5"/>
        <w:spacing w:line="240" w:lineRule="auto"/>
        <w:ind w:firstLine="480" w:firstLineChars="200"/>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7、 供应商提供的产品在质保期内因本身的质量问题发生故障，供应商将负责免费维修或更换。</w:t>
      </w:r>
    </w:p>
    <w:p>
      <w:pPr>
        <w:pStyle w:val="5"/>
        <w:spacing w:line="240" w:lineRule="auto"/>
        <w:ind w:firstLine="480" w:firstLineChars="200"/>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8、 供应商承诺为客户提供终身不定期跟踪、保养维护服务。</w:t>
      </w:r>
    </w:p>
    <w:p>
      <w:pPr>
        <w:pStyle w:val="5"/>
        <w:spacing w:line="240" w:lineRule="auto"/>
        <w:ind w:firstLine="480" w:firstLineChars="200"/>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9、供应商对使用人员进行免费现场技术培训，直到使用人员完全会操作。</w:t>
      </w:r>
    </w:p>
    <w:p>
      <w:pPr>
        <w:pStyle w:val="5"/>
        <w:spacing w:line="240" w:lineRule="auto"/>
        <w:ind w:firstLine="480" w:firstLineChars="200"/>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10、承诺软件免费永久更新，无其他额外费用附加。</w:t>
      </w:r>
    </w:p>
    <w:p>
      <w:pPr>
        <w:pStyle w:val="5"/>
        <w:spacing w:line="240" w:lineRule="auto"/>
        <w:ind w:firstLine="480" w:firstLineChars="200"/>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11、质量保证期内服务要求</w:t>
      </w:r>
    </w:p>
    <w:p>
      <w:pPr>
        <w:pStyle w:val="5"/>
        <w:spacing w:line="240" w:lineRule="auto"/>
        <w:ind w:firstLine="480" w:firstLineChars="200"/>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11.1电话咨询</w:t>
      </w:r>
    </w:p>
    <w:p>
      <w:pPr>
        <w:pStyle w:val="5"/>
        <w:spacing w:line="240" w:lineRule="auto"/>
        <w:ind w:firstLine="480" w:firstLineChars="200"/>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中标人应当为用户提供技术援助电话，解答用户在使用中遇到的问题，及时为用户提出解决问题的建议。</w:t>
      </w:r>
    </w:p>
    <w:p>
      <w:pPr>
        <w:pStyle w:val="5"/>
        <w:spacing w:line="240" w:lineRule="auto"/>
        <w:ind w:firstLine="480" w:firstLineChars="200"/>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11.2现场响应</w:t>
      </w:r>
    </w:p>
    <w:p>
      <w:pPr>
        <w:pStyle w:val="5"/>
        <w:spacing w:line="240" w:lineRule="auto"/>
        <w:ind w:firstLine="480" w:firstLineChars="200"/>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用户遇到使用及技术问题，电话咨询不能解决的，成交供应商应在4小时内采取相应响应措施；无法在4小时内解决的，应在12小内到达现场进行处理，确保产品正常工作。</w:t>
      </w:r>
    </w:p>
    <w:p>
      <w:pPr>
        <w:pStyle w:val="5"/>
        <w:spacing w:line="240" w:lineRule="auto"/>
        <w:ind w:firstLine="480" w:firstLineChars="200"/>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11.3技术升级</w:t>
      </w:r>
    </w:p>
    <w:p>
      <w:pPr>
        <w:pStyle w:val="5"/>
        <w:spacing w:line="240" w:lineRule="auto"/>
        <w:ind w:firstLine="480" w:firstLineChars="200"/>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在质保期内，如果供应商和制造商的产品技术升级，供应商应及时通知采购人，如采购人有相应要求，供应商和制造商应对采购人购买的产品进行升级服务。</w:t>
      </w:r>
    </w:p>
    <w:p>
      <w:pPr>
        <w:pStyle w:val="5"/>
        <w:spacing w:line="240" w:lineRule="auto"/>
        <w:ind w:firstLine="480" w:firstLineChars="200"/>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12、质保期外服务要求</w:t>
      </w:r>
    </w:p>
    <w:p>
      <w:pPr>
        <w:pStyle w:val="5"/>
        <w:spacing w:line="240" w:lineRule="auto"/>
        <w:ind w:firstLine="480" w:firstLineChars="200"/>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12.1质量保证期过后，供应商和制造商应同样提供免费电话咨询服务，并应承诺提供产品上门维护服务。</w:t>
      </w:r>
    </w:p>
    <w:p>
      <w:pPr>
        <w:pStyle w:val="5"/>
        <w:spacing w:line="240" w:lineRule="auto"/>
        <w:ind w:firstLine="480" w:firstLineChars="200"/>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12.2质量保证期过后，采购人需要继续由原供应商和制造商提供售后服务的，该供应商和制造商应终身免费提供售后服务。</w:t>
      </w:r>
    </w:p>
    <w:p>
      <w:pPr>
        <w:pStyle w:val="5"/>
        <w:spacing w:line="240" w:lineRule="auto"/>
        <w:ind w:firstLine="480" w:firstLineChars="200"/>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13、备品备件及易损件</w:t>
      </w:r>
    </w:p>
    <w:p>
      <w:pPr>
        <w:pStyle w:val="5"/>
        <w:spacing w:line="240" w:lineRule="auto"/>
        <w:ind w:firstLine="480" w:firstLineChars="200"/>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供应商和制造商售后服务中，维修使用的备品备件及易损件应为原厂配件，未经采购人同意不得使用非原厂配件。</w:t>
      </w:r>
    </w:p>
    <w:p>
      <w:pPr>
        <w:pStyle w:val="5"/>
        <w:numPr>
          <w:ilvl w:val="0"/>
          <w:numId w:val="1"/>
        </w:numPr>
        <w:spacing w:line="240" w:lineRule="auto"/>
        <w:rPr>
          <w:rFonts w:ascii="方正仿宋_GBK" w:hAnsi="宋体" w:eastAsia="方正仿宋_GBK"/>
          <w:color w:val="auto"/>
          <w:sz w:val="24"/>
          <w:szCs w:val="24"/>
        </w:rPr>
      </w:pPr>
      <w:bookmarkStart w:id="50" w:name="_Toc7477"/>
      <w:r>
        <w:rPr>
          <w:rFonts w:hint="eastAsia" w:ascii="方正仿宋_GBK" w:hAnsi="宋体" w:eastAsia="方正仿宋_GBK"/>
          <w:color w:val="auto"/>
          <w:sz w:val="24"/>
          <w:szCs w:val="24"/>
        </w:rPr>
        <w:t>培训</w:t>
      </w:r>
      <w:bookmarkEnd w:id="50"/>
    </w:p>
    <w:p>
      <w:pPr>
        <w:pStyle w:val="5"/>
        <w:spacing w:line="240" w:lineRule="auto"/>
        <w:ind w:firstLine="480" w:firstLineChars="200"/>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每年两次人员培训。</w:t>
      </w:r>
    </w:p>
    <w:p>
      <w:pPr>
        <w:pStyle w:val="5"/>
        <w:spacing w:line="240" w:lineRule="auto"/>
        <w:rPr>
          <w:rFonts w:ascii="方正仿宋_GBK" w:hAnsi="宋体" w:eastAsia="方正仿宋_GBK"/>
          <w:color w:val="auto"/>
          <w:sz w:val="24"/>
          <w:szCs w:val="24"/>
        </w:rPr>
      </w:pPr>
      <w:bookmarkStart w:id="51" w:name="_Toc8081"/>
      <w:r>
        <w:rPr>
          <w:rFonts w:hint="eastAsia" w:ascii="方正仿宋_GBK" w:hAnsi="宋体" w:eastAsia="方正仿宋_GBK"/>
          <w:color w:val="auto"/>
          <w:sz w:val="24"/>
          <w:szCs w:val="24"/>
        </w:rPr>
        <w:t>四、付款方式</w:t>
      </w:r>
      <w:bookmarkEnd w:id="51"/>
    </w:p>
    <w:p>
      <w:pPr>
        <w:pStyle w:val="5"/>
        <w:spacing w:line="240" w:lineRule="auto"/>
        <w:ind w:firstLine="480"/>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1、成交供应商需在合同签订前向采购人缴纳合同金额的5%作为履约保证金（注明项目名称和编号），履约保证金汇到以下账户：</w:t>
      </w:r>
    </w:p>
    <w:p>
      <w:pPr>
        <w:pStyle w:val="5"/>
        <w:spacing w:line="240" w:lineRule="auto"/>
        <w:ind w:firstLine="480"/>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户名：重庆城市管理职业学院</w:t>
      </w:r>
    </w:p>
    <w:p>
      <w:pPr>
        <w:pStyle w:val="5"/>
        <w:spacing w:line="240" w:lineRule="auto"/>
        <w:ind w:firstLine="480"/>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开户行：中国建设银行重庆沙坪坝支行熙街分理处</w:t>
      </w:r>
    </w:p>
    <w:p>
      <w:pPr>
        <w:pStyle w:val="5"/>
        <w:spacing w:line="240" w:lineRule="auto"/>
        <w:ind w:firstLine="480"/>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账号：50001056800052500187</w:t>
      </w:r>
    </w:p>
    <w:p>
      <w:pPr>
        <w:pStyle w:val="5"/>
        <w:spacing w:line="240" w:lineRule="auto"/>
        <w:ind w:firstLine="480"/>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2、验收合格后，乙方提供增值税发票，甲方向乙方支付合同全款；</w:t>
      </w:r>
    </w:p>
    <w:p>
      <w:pPr>
        <w:pStyle w:val="5"/>
        <w:spacing w:line="240" w:lineRule="auto"/>
        <w:ind w:firstLine="480"/>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3、履约保证金在项目验收之日起至免费质量保证期满，无质量、售后和其它违约问题，由乙方提出申请，经采购人使用部门签字盖章后在15个工作日内无息支付给乙方。</w:t>
      </w:r>
    </w:p>
    <w:p>
      <w:pPr>
        <w:pStyle w:val="5"/>
        <w:spacing w:line="240" w:lineRule="auto"/>
        <w:rPr>
          <w:rFonts w:ascii="方正仿宋_GBK" w:hAnsi="宋体" w:eastAsia="方正仿宋_GBK"/>
          <w:color w:val="auto"/>
          <w:sz w:val="24"/>
          <w:szCs w:val="24"/>
        </w:rPr>
      </w:pPr>
      <w:bookmarkStart w:id="52" w:name="_Toc10101"/>
      <w:r>
        <w:rPr>
          <w:rFonts w:hint="eastAsia" w:ascii="方正仿宋_GBK" w:hAnsi="宋体" w:eastAsia="方正仿宋_GBK"/>
          <w:color w:val="auto"/>
          <w:sz w:val="24"/>
          <w:szCs w:val="24"/>
        </w:rPr>
        <w:t>五、其他</w:t>
      </w:r>
      <w:bookmarkEnd w:id="52"/>
    </w:p>
    <w:p>
      <w:pPr>
        <w:pStyle w:val="5"/>
        <w:spacing w:line="240" w:lineRule="auto"/>
        <w:ind w:firstLine="480" w:firstLineChars="200"/>
        <w:rPr>
          <w:rFonts w:ascii="方正仿宋_GBK" w:hAnsi="宋体" w:eastAsia="方正仿宋_GBK"/>
          <w:b w:val="0"/>
          <w:bCs/>
          <w:color w:val="auto"/>
          <w:sz w:val="24"/>
          <w:szCs w:val="24"/>
        </w:rPr>
      </w:pPr>
      <w:r>
        <w:rPr>
          <w:rFonts w:hint="eastAsia" w:ascii="方正仿宋_GBK" w:hAnsi="宋体" w:eastAsia="方正仿宋_GBK"/>
          <w:b w:val="0"/>
          <w:bCs/>
          <w:color w:val="auto"/>
          <w:sz w:val="24"/>
          <w:szCs w:val="24"/>
        </w:rPr>
        <w:t>1、供应商必须在响应文件中对以上条款和服务承诺明确列出，承诺内容必须达到本篇及竞争性谈判其他条款的要求。</w:t>
      </w:r>
    </w:p>
    <w:p>
      <w:pPr>
        <w:ind w:firstLine="480" w:firstLineChars="200"/>
        <w:rPr>
          <w:color w:val="auto"/>
        </w:rPr>
      </w:pPr>
      <w:r>
        <w:rPr>
          <w:rFonts w:hint="eastAsia" w:ascii="方正仿宋_GBK" w:hAnsi="宋体" w:eastAsia="方正仿宋_GBK"/>
          <w:bCs/>
          <w:color w:val="auto"/>
          <w:sz w:val="24"/>
          <w:szCs w:val="24"/>
        </w:rPr>
        <w:t>2、其他未尽事宜由供需双方在采购合同中详细约定。</w:t>
      </w:r>
    </w:p>
    <w:p>
      <w:pPr>
        <w:rPr>
          <w:rFonts w:ascii="方正小标宋_GBK" w:hAnsi="宋体" w:eastAsia="方正小标宋_GBK"/>
          <w:sz w:val="36"/>
          <w:szCs w:val="30"/>
        </w:rPr>
      </w:pPr>
      <w:bookmarkStart w:id="53" w:name="_Toc21037"/>
      <w:bookmarkStart w:id="54" w:name="_Toc28268"/>
      <w:bookmarkStart w:id="55" w:name="_Toc3108_WPSOffice_Level1"/>
      <w:r>
        <w:rPr>
          <w:rFonts w:hint="eastAsia" w:ascii="方正小标宋_GBK" w:hAnsi="宋体" w:eastAsia="方正小标宋_GBK"/>
          <w:sz w:val="36"/>
          <w:szCs w:val="30"/>
        </w:rPr>
        <w:br w:type="page"/>
      </w:r>
    </w:p>
    <w:p>
      <w:pPr>
        <w:pStyle w:val="4"/>
        <w:spacing w:line="360" w:lineRule="auto"/>
        <w:jc w:val="center"/>
        <w:rPr>
          <w:rFonts w:ascii="方正小标宋_GBK" w:hAnsi="宋体" w:eastAsia="方正小标宋_GBK"/>
          <w:b w:val="0"/>
          <w:szCs w:val="30"/>
        </w:rPr>
      </w:pPr>
      <w:bookmarkStart w:id="56" w:name="_Toc23124"/>
      <w:r>
        <w:rPr>
          <w:rFonts w:hint="eastAsia" w:ascii="方正小标宋_GBK" w:hAnsi="宋体" w:eastAsia="方正小标宋_GBK"/>
          <w:b w:val="0"/>
          <w:sz w:val="36"/>
          <w:szCs w:val="30"/>
        </w:rPr>
        <w:t>第四篇  供应商须知</w:t>
      </w:r>
      <w:bookmarkEnd w:id="56"/>
    </w:p>
    <w:p>
      <w:pPr>
        <w:pStyle w:val="5"/>
        <w:spacing w:line="440" w:lineRule="exact"/>
        <w:rPr>
          <w:rFonts w:ascii="方正仿宋_GBK" w:eastAsia="方正仿宋_GBK"/>
          <w:sz w:val="24"/>
          <w:szCs w:val="24"/>
        </w:rPr>
      </w:pPr>
      <w:bookmarkStart w:id="57" w:name="_Toc29429"/>
      <w:bookmarkStart w:id="58" w:name="_Toc2415"/>
      <w:bookmarkStart w:id="59" w:name="_Toc15303"/>
      <w:bookmarkStart w:id="60" w:name="_Toc342913389"/>
      <w:r>
        <w:rPr>
          <w:rFonts w:hint="eastAsia" w:ascii="方正仿宋_GBK" w:eastAsia="方正仿宋_GBK"/>
          <w:sz w:val="24"/>
          <w:szCs w:val="24"/>
        </w:rPr>
        <w:t>一、谈判费用</w:t>
      </w:r>
      <w:bookmarkEnd w:id="57"/>
      <w:bookmarkEnd w:id="58"/>
      <w:bookmarkEnd w:id="59"/>
      <w:bookmarkEnd w:id="60"/>
    </w:p>
    <w:p>
      <w:pPr>
        <w:pStyle w:val="2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参与谈判的供应商应承担其编制响应文件与递交响应文件所涉及的一切费用，不论谈判结果如何，采购人和部门集中采购机构在任何情况下无义务也无责任承担这些费用。</w:t>
      </w:r>
    </w:p>
    <w:p>
      <w:pPr>
        <w:pStyle w:val="5"/>
        <w:tabs>
          <w:tab w:val="left" w:pos="2640"/>
        </w:tabs>
        <w:spacing w:line="400" w:lineRule="exact"/>
        <w:rPr>
          <w:rFonts w:ascii="方正仿宋_GBK" w:eastAsia="方正仿宋_GBK"/>
          <w:sz w:val="24"/>
          <w:szCs w:val="24"/>
        </w:rPr>
      </w:pPr>
      <w:bookmarkStart w:id="61" w:name="_Toc949"/>
      <w:bookmarkStart w:id="62" w:name="_Toc23597"/>
      <w:bookmarkStart w:id="63" w:name="_Toc12273"/>
      <w:bookmarkStart w:id="64" w:name="_Toc342913391"/>
      <w:r>
        <w:rPr>
          <w:rFonts w:hint="eastAsia" w:ascii="方正仿宋_GBK" w:eastAsia="方正仿宋_GBK"/>
          <w:sz w:val="24"/>
          <w:szCs w:val="24"/>
        </w:rPr>
        <w:t>二、竞争性谈判文件</w:t>
      </w:r>
      <w:bookmarkEnd w:id="61"/>
      <w:bookmarkEnd w:id="62"/>
      <w:bookmarkEnd w:id="63"/>
      <w:bookmarkEnd w:id="64"/>
      <w:r>
        <w:rPr>
          <w:rFonts w:ascii="方正仿宋_GBK" w:eastAsia="方正仿宋_GBK"/>
          <w:sz w:val="24"/>
          <w:szCs w:val="24"/>
        </w:rPr>
        <w:tab/>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（一）竞争性谈判文件由竞争性谈判邀请书、供应商须知、谈判项目技术需求、谈判项目服务需求、合同草案条款、响应文件格式要求六部分组成。</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（二）采购人（或部门集中采购机构）所作的一切有效的书面通知、修改及补充，都是竞争性谈判文件不可分割的部分。</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（三）竞争性谈判文件的解释</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供应商如对竞争性谈判文件有疑问，必须以书面形式在提交响应文件截止时间1个工作日前向重庆城市管理职业学院招标采购中心（或部门集中采购机构）要求澄清，重庆城市管理职业学院招标采购中心（或部门集中采购机构）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bookmarkStart w:id="65" w:name="_Toc318159780"/>
      <w:bookmarkStart w:id="66" w:name="_Toc318159160"/>
      <w:bookmarkStart w:id="67" w:name="_Toc318166429"/>
      <w:bookmarkStart w:id="68" w:name="_Toc318159349"/>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（四）本竞争性谈判文件中，谈判小组根据与供应商谈判情况可能实质性变动的内容为竞争性谈判文件第三、四、五篇全部内容。</w:t>
      </w:r>
    </w:p>
    <w:bookmarkEnd w:id="65"/>
    <w:bookmarkEnd w:id="66"/>
    <w:bookmarkEnd w:id="67"/>
    <w:bookmarkEnd w:id="68"/>
    <w:p>
      <w:pPr>
        <w:pStyle w:val="5"/>
        <w:spacing w:line="400" w:lineRule="exact"/>
        <w:rPr>
          <w:rFonts w:ascii="方正仿宋_GBK" w:eastAsia="方正仿宋_GBK"/>
          <w:sz w:val="24"/>
          <w:szCs w:val="24"/>
        </w:rPr>
      </w:pPr>
      <w:bookmarkStart w:id="69" w:name="_Toc342913392"/>
      <w:bookmarkStart w:id="70" w:name="_Toc30807"/>
      <w:bookmarkStart w:id="71" w:name="_Toc179714297"/>
      <w:bookmarkStart w:id="72" w:name="_Toc21482"/>
      <w:bookmarkStart w:id="73" w:name="_Toc3197"/>
      <w:bookmarkStart w:id="74" w:name="_Toc102227318"/>
      <w:r>
        <w:rPr>
          <w:rFonts w:hint="eastAsia" w:ascii="方正仿宋_GBK" w:eastAsia="方正仿宋_GBK"/>
          <w:sz w:val="24"/>
          <w:szCs w:val="24"/>
        </w:rPr>
        <w:t>三、谈判要求</w:t>
      </w:r>
      <w:bookmarkEnd w:id="69"/>
      <w:bookmarkEnd w:id="70"/>
      <w:bookmarkEnd w:id="71"/>
      <w:bookmarkEnd w:id="72"/>
      <w:bookmarkEnd w:id="73"/>
      <w:bookmarkEnd w:id="74"/>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（一）响应文件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供应商应当按照竞争性谈判文件的要求编制响应文件，并对竞争性谈判文件提出的要求和条件作出实质性响应，响应文件原则上采用软面订本。</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1.响应文件组成</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六篇“响应文件格式要求”规定的部分和供应商所作的一切有效补充、修改和承诺等文件组成，供应商应按照第六篇“响应文件格式”规定进行编写和装订，也可在基本格式基础上对表格进行扩展，未规定格式的由供应商自定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2.联合体</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本项目不接受联合体参与谈判。</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3.谈判有效期：响应文件及有关承诺文件有效期为谈判开始时间起90天。</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（二）投标保证金：</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1.供应商提交保证金金额和方式详见“</w:t>
      </w:r>
      <w:r>
        <w:rPr>
          <w:rFonts w:hint="eastAsia" w:ascii="方正仿宋_GBK" w:hAnsi="宋体" w:eastAsia="方正仿宋_GBK"/>
          <w:b/>
          <w:sz w:val="24"/>
          <w:szCs w:val="24"/>
          <w:u w:val="single"/>
        </w:rPr>
        <w:t>第一篇  五、投标保证金”</w:t>
      </w:r>
      <w:r>
        <w:rPr>
          <w:rFonts w:hint="eastAsia" w:ascii="方正仿宋_GBK" w:hAnsi="宋体" w:eastAsia="方正仿宋_GBK"/>
          <w:sz w:val="24"/>
          <w:szCs w:val="24"/>
        </w:rPr>
        <w:t>；</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2.发生以下情况之一者，投标保证金不予退还：</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2.1供应商在提交响应文件截止时间后撤回响应文件的；</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2.2供应商在响应文件中提供虚假材料的；</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2.3除因不可抗力或竞争性谈判文件认可的情形以外，成交供应商不与采购人签订合同的；</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2.4供应商与采购人、其他供应商或者部门集中采购机构恶意串通的；</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2.5成交供应商不按规定的时间或拒绝按成交状态签订合同（即不按照采购文件确定的合同文本以及采购标的、规格型号、采购金额、采购数量、技术和服务要求等事项签订政府采购合同的）。</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（三）报价要求</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本项目以人民币报价,谈判报价包括施工、安全全程监控管理，对相关设施设备进行定期维护保养及操作，完成本项目所需的设备或货物购买（制造）费、辅材费、运输费、装卸费、安装调试费、培训费及各种应纳的税费。因成交供应商自身原因造成漏报、少报皆由其自行承担责任，采购人不再补偿。</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（四）修正错误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若供应商所递交的响应文件或最后报价中的价格出现大写金额和小写金额不一致的错误，以大写金额修正为准。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（五）提交响应文件的份数和签署</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在响应文件正本中，竞争性谈判文件第六篇响应文件格式中规定签字、盖章的地方必须按其规定签字、盖章。</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3.若供应商对响应文件的错处作必要修改，则应在修改处加盖供应商公章或由法定代表人或法定代表人授权代表签字确认。</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4.电报、电话、传真形式的响应文件概不接受。</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（六）响应文件的递交</w:t>
      </w:r>
    </w:p>
    <w:p>
      <w:pPr>
        <w:pStyle w:val="10"/>
        <w:spacing w:line="400" w:lineRule="exact"/>
        <w:ind w:firstLine="480" w:firstLineChars="200"/>
        <w:rPr>
          <w:rFonts w:ascii="方正仿宋_GBK" w:hAnsi="宋体" w:eastAsia="方正仿宋_GBK"/>
          <w:sz w:val="24"/>
        </w:rPr>
      </w:pPr>
      <w:r>
        <w:rPr>
          <w:rFonts w:hint="eastAsia" w:ascii="方正仿宋_GBK" w:hAnsi="宋体" w:eastAsia="方正仿宋_GBK"/>
          <w:sz w:val="24"/>
        </w:rPr>
        <w:t>1.响应文件的密封与标记</w:t>
      </w:r>
    </w:p>
    <w:p>
      <w:pPr>
        <w:pStyle w:val="10"/>
        <w:spacing w:line="400" w:lineRule="exact"/>
        <w:ind w:firstLine="480" w:firstLineChars="200"/>
        <w:rPr>
          <w:rFonts w:ascii="方正仿宋_GBK" w:hAnsi="宋体" w:eastAsia="方正仿宋_GBK"/>
          <w:sz w:val="24"/>
        </w:rPr>
      </w:pPr>
      <w:r>
        <w:rPr>
          <w:rFonts w:hint="eastAsia" w:ascii="方正仿宋_GBK" w:hAnsi="宋体" w:eastAsia="方正仿宋_GBK"/>
          <w:sz w:val="24"/>
        </w:rPr>
        <w:t>1.1响应文件的正本、副本均应密封送达谈判地点，应在封套上注明项目名称、供应商名称。若正本、副本分别进行密封的，还应在封套上注明“正本”、“副本”、字样。</w:t>
      </w:r>
    </w:p>
    <w:p>
      <w:pPr>
        <w:pStyle w:val="10"/>
        <w:spacing w:line="400" w:lineRule="exact"/>
        <w:ind w:firstLine="480" w:firstLineChars="200"/>
        <w:rPr>
          <w:rFonts w:ascii="方正仿宋_GBK" w:hAnsi="宋体" w:eastAsia="方正仿宋_GBK"/>
          <w:sz w:val="24"/>
        </w:rPr>
      </w:pPr>
      <w:r>
        <w:rPr>
          <w:rFonts w:hint="eastAsia" w:ascii="方正仿宋_GBK" w:hAnsi="宋体" w:eastAsia="方正仿宋_GBK"/>
          <w:sz w:val="24"/>
        </w:rPr>
        <w:t>1.2封套的封口处应加盖供应商公章或由法定代表人授权代表签字。</w:t>
      </w:r>
    </w:p>
    <w:p>
      <w:pPr>
        <w:snapToGrid w:val="0"/>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rPr>
        <w:t>1.3</w:t>
      </w:r>
      <w:r>
        <w:rPr>
          <w:rFonts w:hint="eastAsia" w:ascii="方正仿宋_GBK" w:hAnsi="宋体" w:eastAsia="方正仿宋_GBK"/>
          <w:b/>
          <w:sz w:val="24"/>
          <w:szCs w:val="24"/>
        </w:rPr>
        <w:t>封装响应文件。</w:t>
      </w:r>
    </w:p>
    <w:p>
      <w:pPr>
        <w:pStyle w:val="10"/>
        <w:spacing w:line="400" w:lineRule="exact"/>
        <w:ind w:firstLine="480" w:firstLineChars="200"/>
        <w:rPr>
          <w:rFonts w:ascii="方正仿宋_GBK" w:hAnsi="宋体" w:eastAsia="方正仿宋_GBK"/>
          <w:sz w:val="24"/>
        </w:rPr>
      </w:pPr>
      <w:r>
        <w:rPr>
          <w:rFonts w:hint="eastAsia" w:ascii="方正仿宋_GBK" w:hAnsi="宋体" w:eastAsia="方正仿宋_GBK"/>
          <w:sz w:val="24"/>
        </w:rPr>
        <w:t>2.如果响应文件通过邮寄递交，供应商应将响应文件用内、外两层封套密封。</w:t>
      </w:r>
    </w:p>
    <w:p>
      <w:pPr>
        <w:pStyle w:val="10"/>
        <w:spacing w:line="400" w:lineRule="exact"/>
        <w:ind w:firstLine="480" w:firstLineChars="200"/>
        <w:rPr>
          <w:rFonts w:ascii="方正仿宋_GBK" w:hAnsi="宋体" w:eastAsia="方正仿宋_GBK"/>
          <w:sz w:val="24"/>
        </w:rPr>
      </w:pPr>
      <w:r>
        <w:rPr>
          <w:rFonts w:hint="eastAsia" w:ascii="方正仿宋_GBK" w:hAnsi="宋体" w:eastAsia="方正仿宋_GBK"/>
          <w:sz w:val="24"/>
        </w:rPr>
        <w:t>2.1内层封套的封装与标记同 “1.”款规定。</w:t>
      </w:r>
    </w:p>
    <w:p>
      <w:pPr>
        <w:pStyle w:val="10"/>
        <w:spacing w:line="400" w:lineRule="exact"/>
        <w:ind w:firstLine="480" w:firstLineChars="200"/>
        <w:rPr>
          <w:rFonts w:ascii="方正仿宋_GBK" w:hAnsi="宋体" w:eastAsia="方正仿宋_GBK"/>
          <w:sz w:val="24"/>
        </w:rPr>
      </w:pPr>
      <w:r>
        <w:rPr>
          <w:rFonts w:hint="eastAsia" w:ascii="方正仿宋_GBK" w:hAnsi="宋体" w:eastAsia="方正仿宋_GBK"/>
          <w:sz w:val="24"/>
        </w:rPr>
        <w:t>2.2外层封套装入“1.”款所述全部内封资料，并注明项目编号、项目名称、部门集中采购机构名称及地址。同时应写明供应商的名称、地址，以便将迟交的响应文件原封退还。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rPr>
        <w:t>3.如果未按上述规定进行密封和标记，部门集中采购机构对响应文件误投、丢失或提前拆封不负责任</w:t>
      </w:r>
      <w:r>
        <w:rPr>
          <w:rFonts w:hint="eastAsia" w:ascii="方正仿宋_GBK" w:hAnsi="宋体" w:eastAsia="方正仿宋_GBK"/>
          <w:sz w:val="24"/>
          <w:szCs w:val="24"/>
        </w:rPr>
        <w:t>。</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（七）响应文件语言：简体中文</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（八）供应商参与人员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各供应商应当派1-2名代表参与谈判，至少1人应为法定代表人或具有法定代表人授权委托书的授权代表。</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（九）无效谈判</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供应商发生以下条款情况之一者，视为无效谈判，其响应文件将被拒绝：</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1.供应商不符合规定的基本资格条件或特定资格条件的；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2.供应商的法定代表人或其授权代表未参加谈判；</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3.供应商未在投标保证金到账截止时间前提交足额保证金的；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4.供应商所提交的响应文件不按规定封装、签字、盖章的；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5.供应商的最后报价超过采购预算的；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6.供应商响应文件内容有与国家现行法律法规相违背的内容，或附有采购人无法接受条件的。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7.单位负责人为同一人或者存在直接控股、管理关系的不同供应商，</w:t>
      </w:r>
      <w:r>
        <w:rPr>
          <w:rFonts w:ascii="方正仿宋_GBK" w:hAnsi="宋体" w:eastAsia="方正仿宋_GBK"/>
          <w:sz w:val="24"/>
          <w:szCs w:val="24"/>
        </w:rPr>
        <w:t>参加同一合同项</w:t>
      </w:r>
      <w:r>
        <w:rPr>
          <w:rFonts w:hint="eastAsia" w:ascii="方正仿宋_GBK" w:hAnsi="宋体" w:eastAsia="方正仿宋_GBK"/>
          <w:sz w:val="24"/>
          <w:szCs w:val="24"/>
        </w:rPr>
        <w:t>（分包）</w:t>
      </w:r>
      <w:r>
        <w:rPr>
          <w:rFonts w:ascii="方正仿宋_GBK" w:hAnsi="宋体" w:eastAsia="方正仿宋_GBK"/>
          <w:sz w:val="24"/>
          <w:szCs w:val="24"/>
        </w:rPr>
        <w:t>下政府采购活动</w:t>
      </w:r>
      <w:r>
        <w:rPr>
          <w:rFonts w:hint="eastAsia" w:ascii="方正仿宋_GBK" w:hAnsi="宋体" w:eastAsia="方正仿宋_GBK"/>
          <w:sz w:val="24"/>
          <w:szCs w:val="24"/>
        </w:rPr>
        <w:t>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8.为采购项目提供整体设计、规范编制或者项目管理、监理、检测等服务的供应商再参加该采购项目的其他采购活动的；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9.同一</w:t>
      </w:r>
      <w:r>
        <w:rPr>
          <w:rFonts w:ascii="方正仿宋_GBK" w:hAnsi="宋体" w:eastAsia="方正仿宋_GBK"/>
          <w:sz w:val="24"/>
          <w:szCs w:val="24"/>
        </w:rPr>
        <w:t>合同项</w:t>
      </w:r>
      <w:r>
        <w:rPr>
          <w:rFonts w:hint="eastAsia" w:ascii="方正仿宋_GBK" w:hAnsi="宋体" w:eastAsia="方正仿宋_GBK"/>
          <w:sz w:val="24"/>
          <w:szCs w:val="24"/>
        </w:rPr>
        <w:t>（分包）</w:t>
      </w:r>
      <w:r>
        <w:rPr>
          <w:rFonts w:ascii="方正仿宋_GBK" w:hAnsi="宋体" w:eastAsia="方正仿宋_GBK"/>
          <w:sz w:val="24"/>
          <w:szCs w:val="24"/>
        </w:rPr>
        <w:t>下</w:t>
      </w:r>
      <w:r>
        <w:rPr>
          <w:rFonts w:hint="eastAsia" w:ascii="方正仿宋_GBK" w:hAnsi="宋体" w:eastAsia="方正仿宋_GBK"/>
          <w:sz w:val="24"/>
          <w:szCs w:val="24"/>
        </w:rPr>
        <w:t>的货物，制造商参与谈判的，再委托代理商参与谈判的；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10.供应商被</w:t>
      </w:r>
      <w:r>
        <w:rPr>
          <w:rFonts w:hint="eastAsia" w:ascii="方正仿宋_GBK" w:eastAsia="方正仿宋_GBK"/>
          <w:sz w:val="24"/>
          <w:szCs w:val="24"/>
        </w:rPr>
        <w:t>列入失信被执行人、重大税收违法案件当事人名单、政府采购严重违法失信行为记录名单及其他不符合《中华人民共和国政府采购法》第二十二条规定条件的</w:t>
      </w:r>
      <w:r>
        <w:rPr>
          <w:rFonts w:hint="eastAsia" w:ascii="方正仿宋_GBK" w:hAnsi="宋体" w:eastAsia="方正仿宋_GBK"/>
          <w:sz w:val="24"/>
          <w:szCs w:val="24"/>
        </w:rPr>
        <w:t>。</w:t>
      </w:r>
    </w:p>
    <w:p>
      <w:pPr>
        <w:pStyle w:val="5"/>
        <w:spacing w:line="400" w:lineRule="exact"/>
        <w:rPr>
          <w:rFonts w:ascii="方正仿宋_GBK" w:eastAsia="方正仿宋_GBK"/>
          <w:sz w:val="24"/>
          <w:szCs w:val="24"/>
        </w:rPr>
      </w:pPr>
      <w:bookmarkStart w:id="75" w:name="_Toc102227319"/>
      <w:bookmarkStart w:id="76" w:name="_Toc12798"/>
      <w:bookmarkStart w:id="77" w:name="_Toc179714298"/>
      <w:bookmarkStart w:id="78" w:name="_Toc11348"/>
      <w:bookmarkStart w:id="79" w:name="_Toc342913393"/>
      <w:bookmarkStart w:id="80" w:name="_Toc7695"/>
      <w:r>
        <w:rPr>
          <w:rFonts w:hint="eastAsia" w:ascii="方正仿宋_GBK" w:eastAsia="方正仿宋_GBK"/>
          <w:sz w:val="24"/>
          <w:szCs w:val="24"/>
        </w:rPr>
        <w:t>四、谈判程序</w:t>
      </w:r>
      <w:bookmarkEnd w:id="75"/>
      <w:bookmarkEnd w:id="76"/>
      <w:bookmarkEnd w:id="77"/>
      <w:bookmarkEnd w:id="78"/>
      <w:bookmarkEnd w:id="79"/>
      <w:bookmarkEnd w:id="80"/>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（一）谈判按竞争性谈判文件规定的时间和地点进行。供应商须有法定代表人或其授权代表参加并签到。</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竞争性谈判以抽签的形式确定谈判顺序，由本项目谈判小组分别与各供应商进行谈判。在正式谈判前，对各供应商的资格条件、响应文件的有效性、完整性和响应程度进行审查，各供应商只有在完全符合谈判要求的前提下，才能参与正式谈判，审查的内容如下：</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1.资格性检查。依据法律法规和竞争性谈判文件的规定，对响应文件中的资格证明、保证金等进行审查，以确定供应商是否具备谈判资格。资格性检查资料表如下：</w:t>
      </w:r>
    </w:p>
    <w:tbl>
      <w:tblPr>
        <w:tblStyle w:val="1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61"/>
        <w:gridCol w:w="4927"/>
        <w:gridCol w:w="3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pacing w:line="240" w:lineRule="exact"/>
              <w:jc w:val="center"/>
              <w:rPr>
                <w:rFonts w:ascii="方正仿宋_GBK" w:hAnsi="宋体" w:eastAsia="方正仿宋_GBK" w:cs="宋体"/>
                <w:b/>
                <w:kern w:val="0"/>
                <w:sz w:val="21"/>
                <w:szCs w:val="21"/>
              </w:rPr>
            </w:pPr>
            <w:r>
              <w:rPr>
                <w:rFonts w:hint="eastAsia" w:ascii="方正仿宋_GBK" w:hAnsi="仿宋" w:eastAsia="方正仿宋_GBK" w:cs="宋体"/>
                <w:b/>
                <w:kern w:val="0"/>
                <w:sz w:val="21"/>
                <w:szCs w:val="21"/>
              </w:rPr>
              <w:t>序号</w:t>
            </w:r>
          </w:p>
        </w:tc>
        <w:tc>
          <w:tcPr>
            <w:tcW w:w="5388" w:type="dxa"/>
            <w:gridSpan w:val="2"/>
            <w:vAlign w:val="center"/>
          </w:tcPr>
          <w:p>
            <w:pPr>
              <w:spacing w:line="240" w:lineRule="exact"/>
              <w:jc w:val="center"/>
              <w:rPr>
                <w:rFonts w:ascii="方正仿宋_GBK" w:hAnsi="宋体" w:eastAsia="方正仿宋_GBK" w:cs="宋体"/>
                <w:b/>
                <w:kern w:val="0"/>
                <w:sz w:val="21"/>
                <w:szCs w:val="21"/>
              </w:rPr>
            </w:pPr>
            <w:r>
              <w:rPr>
                <w:rFonts w:hint="eastAsia" w:ascii="方正仿宋_GBK" w:hAnsi="仿宋" w:eastAsia="方正仿宋_GBK" w:cs="宋体"/>
                <w:b/>
                <w:kern w:val="0"/>
                <w:sz w:val="21"/>
                <w:szCs w:val="21"/>
              </w:rPr>
              <w:t>检查因素</w:t>
            </w:r>
          </w:p>
        </w:tc>
        <w:tc>
          <w:tcPr>
            <w:tcW w:w="3564" w:type="dxa"/>
            <w:vAlign w:val="center"/>
          </w:tcPr>
          <w:p>
            <w:pPr>
              <w:spacing w:line="240" w:lineRule="exact"/>
              <w:jc w:val="center"/>
              <w:rPr>
                <w:rFonts w:ascii="方正仿宋_GBK" w:hAnsi="宋体" w:eastAsia="方正仿宋_GBK" w:cs="宋体"/>
                <w:b/>
                <w:kern w:val="0"/>
                <w:sz w:val="21"/>
                <w:szCs w:val="21"/>
              </w:rPr>
            </w:pPr>
            <w:r>
              <w:rPr>
                <w:rFonts w:hint="eastAsia" w:ascii="方正仿宋_GBK" w:hAnsi="仿宋"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pPr>
              <w:spacing w:line="240" w:lineRule="exact"/>
              <w:jc w:val="center"/>
              <w:rPr>
                <w:rFonts w:ascii="方正仿宋_GBK" w:hAnsi="宋体" w:eastAsia="方正仿宋_GBK"/>
                <w:sz w:val="21"/>
                <w:szCs w:val="21"/>
              </w:rPr>
            </w:pPr>
            <w:r>
              <w:rPr>
                <w:rFonts w:hint="eastAsia" w:ascii="方正仿宋_GBK" w:hAnsi="仿宋" w:eastAsia="方正仿宋_GBK"/>
                <w:sz w:val="21"/>
                <w:szCs w:val="21"/>
              </w:rPr>
              <w:t>1</w:t>
            </w:r>
          </w:p>
        </w:tc>
        <w:tc>
          <w:tcPr>
            <w:tcW w:w="461" w:type="dxa"/>
            <w:vMerge w:val="restart"/>
            <w:vAlign w:val="center"/>
          </w:tcPr>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供</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应</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商</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基</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本</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资</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格</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条</w:t>
            </w:r>
          </w:p>
          <w:p>
            <w:pPr>
              <w:spacing w:line="240" w:lineRule="exact"/>
              <w:jc w:val="center"/>
              <w:rPr>
                <w:rFonts w:ascii="方正仿宋_GBK" w:hAnsi="宋体" w:eastAsia="方正仿宋_GBK" w:cs="仿宋_GB2312"/>
                <w:sz w:val="21"/>
                <w:szCs w:val="21"/>
                <w:lang w:val="zh-CN"/>
              </w:rPr>
            </w:pPr>
            <w:r>
              <w:rPr>
                <w:rFonts w:hint="eastAsia" w:ascii="方正仿宋_GBK" w:hAnsi="仿宋" w:eastAsia="方正仿宋_GBK" w:cs="仿宋_GB2312"/>
                <w:sz w:val="21"/>
                <w:szCs w:val="21"/>
                <w:lang w:val="zh-CN"/>
              </w:rPr>
              <w:t>件</w:t>
            </w:r>
          </w:p>
        </w:tc>
        <w:tc>
          <w:tcPr>
            <w:tcW w:w="4927" w:type="dxa"/>
            <w:vAlign w:val="center"/>
          </w:tcPr>
          <w:p>
            <w:pPr>
              <w:spacing w:line="240" w:lineRule="exact"/>
              <w:rPr>
                <w:rFonts w:ascii="方正仿宋_GBK" w:hAnsi="宋体" w:eastAsia="方正仿宋_GBK"/>
                <w:sz w:val="21"/>
                <w:szCs w:val="21"/>
              </w:rPr>
            </w:pPr>
            <w:r>
              <w:rPr>
                <w:rFonts w:hint="eastAsia" w:ascii="方正仿宋_GBK" w:hAnsi="仿宋" w:eastAsia="方正仿宋_GBK"/>
                <w:sz w:val="21"/>
                <w:szCs w:val="21"/>
              </w:rPr>
              <w:t>（1）具有独立承担民事责任的能力</w:t>
            </w:r>
          </w:p>
        </w:tc>
        <w:tc>
          <w:tcPr>
            <w:tcW w:w="3564"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 xml:space="preserve">供应商法人营业执照（副本）或事业单位法人证书（副本）或个体工商户营业执照或有效的自然人身份证明或社会团体法人登记证书； </w:t>
            </w:r>
          </w:p>
          <w:p>
            <w:pPr>
              <w:spacing w:line="240" w:lineRule="exact"/>
              <w:rPr>
                <w:rFonts w:ascii="方正仿宋_GBK" w:hAnsi="宋体" w:eastAsia="方正仿宋_GBK"/>
                <w:sz w:val="21"/>
                <w:szCs w:val="21"/>
              </w:rPr>
            </w:pPr>
            <w:r>
              <w:rPr>
                <w:rFonts w:hint="eastAsia" w:ascii="方正仿宋_GBK" w:hAnsi="仿宋" w:eastAsia="方正仿宋_GBK"/>
                <w:sz w:val="21"/>
                <w:szCs w:val="21"/>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ascii="方正仿宋_GBK" w:hAnsi="宋体" w:eastAsia="方正仿宋_GBK"/>
                <w:sz w:val="21"/>
                <w:szCs w:val="21"/>
              </w:rPr>
            </w:pPr>
          </w:p>
        </w:tc>
        <w:tc>
          <w:tcPr>
            <w:tcW w:w="461" w:type="dxa"/>
            <w:vMerge w:val="continue"/>
            <w:vAlign w:val="center"/>
          </w:tcPr>
          <w:p>
            <w:pPr>
              <w:spacing w:line="240" w:lineRule="exact"/>
              <w:rPr>
                <w:rFonts w:ascii="方正仿宋_GBK" w:hAnsi="宋体" w:eastAsia="方正仿宋_GBK" w:cs="仿宋_GB2312"/>
                <w:sz w:val="21"/>
                <w:szCs w:val="21"/>
                <w:lang w:val="zh-CN"/>
              </w:rPr>
            </w:pPr>
          </w:p>
        </w:tc>
        <w:tc>
          <w:tcPr>
            <w:tcW w:w="4927" w:type="dxa"/>
            <w:vAlign w:val="center"/>
          </w:tcPr>
          <w:p>
            <w:pPr>
              <w:spacing w:line="240" w:lineRule="exact"/>
              <w:rPr>
                <w:rFonts w:ascii="方正仿宋_GBK" w:hAnsi="宋体"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3564" w:type="dxa"/>
            <w:vAlign w:val="center"/>
          </w:tcPr>
          <w:p>
            <w:pPr>
              <w:spacing w:line="240" w:lineRule="exact"/>
              <w:rPr>
                <w:rFonts w:ascii="方正仿宋_GBK" w:hAnsi="宋体" w:eastAsia="方正仿宋_GBK"/>
                <w:sz w:val="21"/>
                <w:szCs w:val="21"/>
              </w:rPr>
            </w:pPr>
            <w:r>
              <w:rPr>
                <w:rFonts w:hint="eastAsia" w:ascii="方正仿宋_GBK" w:hAnsi="仿宋" w:eastAsia="方正仿宋_GBK"/>
                <w:sz w:val="21"/>
                <w:szCs w:val="21"/>
              </w:rPr>
              <w:t>提供2019年度财务状况报告（表）或其基本开户银行出具的资信证明复印件，本年度新成立或成立不满一年的组织和自然人无法提供财务状况报告（表）的，可提供银行出具的资信证明复印件。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ascii="方正仿宋_GBK" w:hAnsi="宋体" w:eastAsia="方正仿宋_GBK"/>
                <w:sz w:val="21"/>
                <w:szCs w:val="21"/>
              </w:rPr>
            </w:pPr>
          </w:p>
        </w:tc>
        <w:tc>
          <w:tcPr>
            <w:tcW w:w="461" w:type="dxa"/>
            <w:vMerge w:val="continue"/>
            <w:vAlign w:val="center"/>
          </w:tcPr>
          <w:p>
            <w:pPr>
              <w:spacing w:line="240" w:lineRule="exact"/>
              <w:rPr>
                <w:rFonts w:ascii="方正仿宋_GBK" w:hAnsi="宋体" w:eastAsia="方正仿宋_GBK" w:cs="仿宋_GB2312"/>
                <w:sz w:val="21"/>
                <w:szCs w:val="21"/>
                <w:lang w:val="zh-CN"/>
              </w:rPr>
            </w:pPr>
          </w:p>
        </w:tc>
        <w:tc>
          <w:tcPr>
            <w:tcW w:w="4927" w:type="dxa"/>
            <w:vAlign w:val="center"/>
          </w:tcPr>
          <w:p>
            <w:pPr>
              <w:spacing w:line="240" w:lineRule="exact"/>
              <w:rPr>
                <w:rFonts w:ascii="方正仿宋_GBK" w:hAnsi="宋体"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3564" w:type="dxa"/>
            <w:vAlign w:val="center"/>
          </w:tcPr>
          <w:p>
            <w:pPr>
              <w:spacing w:line="240" w:lineRule="exact"/>
              <w:rPr>
                <w:rFonts w:ascii="方正仿宋_GBK" w:hAnsi="宋体" w:eastAsia="方正仿宋_GBK"/>
                <w:sz w:val="21"/>
                <w:szCs w:val="21"/>
              </w:rPr>
            </w:pPr>
            <w:r>
              <w:rPr>
                <w:rFonts w:hint="eastAsia" w:ascii="方正仿宋_GBK" w:hAnsi="仿宋" w:eastAsia="方正仿宋_GBK"/>
                <w:sz w:val="21"/>
                <w:szCs w:val="21"/>
              </w:rPr>
              <w:t>供应商提供书面声明或相关证明材料（见格式文件）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ascii="方正仿宋_GBK" w:hAnsi="宋体" w:eastAsia="方正仿宋_GBK"/>
                <w:sz w:val="21"/>
                <w:szCs w:val="21"/>
              </w:rPr>
            </w:pPr>
          </w:p>
        </w:tc>
        <w:tc>
          <w:tcPr>
            <w:tcW w:w="461" w:type="dxa"/>
            <w:vMerge w:val="continue"/>
            <w:vAlign w:val="center"/>
          </w:tcPr>
          <w:p>
            <w:pPr>
              <w:spacing w:line="240" w:lineRule="exact"/>
              <w:rPr>
                <w:rFonts w:ascii="方正仿宋_GBK" w:hAnsi="宋体" w:eastAsia="方正仿宋_GBK" w:cs="仿宋_GB2312"/>
                <w:sz w:val="21"/>
                <w:szCs w:val="21"/>
                <w:lang w:val="zh-CN"/>
              </w:rPr>
            </w:pPr>
          </w:p>
        </w:tc>
        <w:tc>
          <w:tcPr>
            <w:tcW w:w="4927" w:type="dxa"/>
            <w:vAlign w:val="center"/>
          </w:tcPr>
          <w:p>
            <w:pPr>
              <w:spacing w:line="240" w:lineRule="exact"/>
              <w:rPr>
                <w:rFonts w:ascii="方正仿宋_GBK" w:hAnsi="宋体"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3564"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1.税务登记证（副本）复印件（注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w:t>
            </w:r>
          </w:p>
          <w:p>
            <w:pPr>
              <w:spacing w:line="240" w:lineRule="exact"/>
              <w:rPr>
                <w:rFonts w:ascii="方正仿宋_GBK" w:hAnsi="仿宋" w:eastAsia="方正仿宋_GBK"/>
                <w:sz w:val="21"/>
                <w:szCs w:val="21"/>
              </w:rPr>
            </w:pPr>
            <w:r>
              <w:rPr>
                <w:rFonts w:hint="eastAsia" w:ascii="方正仿宋_GBK" w:hAnsi="仿宋" w:eastAsia="方正仿宋_GBK"/>
                <w:sz w:val="21"/>
                <w:szCs w:val="21"/>
              </w:rPr>
              <w:t>2.缴纳社会保障金的证明材料复印件（缴纳社会保障金的证明材料指：社会保险登记证（注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）或缴纳社会保险的凭据（专用收据或社会保险缴纳清单）。</w:t>
            </w:r>
          </w:p>
          <w:p>
            <w:pPr>
              <w:spacing w:line="240" w:lineRule="exact"/>
              <w:rPr>
                <w:rFonts w:ascii="方正仿宋_GBK" w:hAnsi="宋体" w:eastAsia="方正仿宋_GBK"/>
                <w:sz w:val="21"/>
                <w:szCs w:val="21"/>
              </w:rPr>
            </w:pPr>
            <w:r>
              <w:rPr>
                <w:rFonts w:hint="eastAsia" w:ascii="方正仿宋_GBK" w:hAnsi="仿宋" w:eastAsia="方正仿宋_GBK"/>
                <w:sz w:val="21"/>
                <w:szCs w:val="21"/>
              </w:rPr>
              <w:t>3.依法免税或不需要缴纳社会保障资金的供应商，应提供相应文件证明其依法免税或不需要缴纳社会保障资金</w:t>
            </w:r>
            <w:r>
              <w:rPr>
                <w:rFonts w:ascii="方正仿宋_GBK" w:hAnsi="仿宋" w:eastAsia="方正仿宋_GBK"/>
                <w:sz w:val="21"/>
                <w:szCs w:val="21"/>
              </w:rPr>
              <w:t>）</w:t>
            </w:r>
            <w:r>
              <w:rPr>
                <w:rFonts w:hint="eastAsia" w:ascii="方正仿宋_GBK" w:hAnsi="仿宋" w:eastAsia="方正仿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9" w:hRule="atLeast"/>
        </w:trPr>
        <w:tc>
          <w:tcPr>
            <w:tcW w:w="676" w:type="dxa"/>
            <w:vMerge w:val="continue"/>
            <w:vAlign w:val="center"/>
          </w:tcPr>
          <w:p>
            <w:pPr>
              <w:spacing w:line="240" w:lineRule="exact"/>
              <w:jc w:val="center"/>
              <w:rPr>
                <w:rFonts w:ascii="方正仿宋_GBK" w:hAnsi="宋体" w:eastAsia="方正仿宋_GBK"/>
                <w:sz w:val="21"/>
                <w:szCs w:val="21"/>
              </w:rPr>
            </w:pPr>
          </w:p>
        </w:tc>
        <w:tc>
          <w:tcPr>
            <w:tcW w:w="461" w:type="dxa"/>
            <w:vMerge w:val="continue"/>
            <w:vAlign w:val="center"/>
          </w:tcPr>
          <w:p>
            <w:pPr>
              <w:spacing w:line="240" w:lineRule="exact"/>
              <w:rPr>
                <w:rFonts w:ascii="方正仿宋_GBK" w:hAnsi="宋体" w:eastAsia="方正仿宋_GBK" w:cs="仿宋_GB2312"/>
                <w:sz w:val="21"/>
                <w:szCs w:val="21"/>
                <w:lang w:val="zh-CN"/>
              </w:rPr>
            </w:pPr>
          </w:p>
        </w:tc>
        <w:tc>
          <w:tcPr>
            <w:tcW w:w="4927" w:type="dxa"/>
            <w:vAlign w:val="center"/>
          </w:tcPr>
          <w:p>
            <w:pPr>
              <w:spacing w:line="240" w:lineRule="exact"/>
              <w:rPr>
                <w:rFonts w:ascii="方正仿宋_GBK" w:hAnsi="宋体"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w:t>
            </w:r>
          </w:p>
        </w:tc>
        <w:tc>
          <w:tcPr>
            <w:tcW w:w="3564" w:type="dxa"/>
            <w:vAlign w:val="center"/>
          </w:tcPr>
          <w:p>
            <w:pPr>
              <w:spacing w:line="240" w:lineRule="exact"/>
              <w:rPr>
                <w:rFonts w:ascii="方正仿宋_GBK" w:hAnsi="仿宋" w:eastAsia="方正仿宋_GBK"/>
                <w:b/>
                <w:sz w:val="21"/>
                <w:szCs w:val="21"/>
              </w:rPr>
            </w:pPr>
            <w:r>
              <w:rPr>
                <w:rFonts w:hint="eastAsia" w:ascii="方正仿宋_GBK" w:hAnsi="仿宋" w:eastAsia="方正仿宋_GBK"/>
                <w:b/>
                <w:sz w:val="21"/>
                <w:szCs w:val="21"/>
              </w:rPr>
              <w:t>1.供应商提供书面声明（见格式文件）；</w:t>
            </w:r>
          </w:p>
          <w:p>
            <w:pPr>
              <w:spacing w:line="240" w:lineRule="exact"/>
              <w:rPr>
                <w:rFonts w:ascii="方正仿宋_GBK" w:hAnsi="宋体" w:eastAsia="方正仿宋_GBK"/>
                <w:sz w:val="21"/>
                <w:szCs w:val="21"/>
              </w:rPr>
            </w:pPr>
            <w:r>
              <w:rPr>
                <w:rFonts w:hint="eastAsia" w:ascii="方正仿宋_GBK" w:hAnsi="仿宋" w:eastAsia="方正仿宋_GBK"/>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ascii="方正仿宋_GBK" w:hAnsi="宋体" w:eastAsia="方正仿宋_GBK"/>
                <w:sz w:val="21"/>
                <w:szCs w:val="21"/>
              </w:rPr>
            </w:pPr>
          </w:p>
        </w:tc>
        <w:tc>
          <w:tcPr>
            <w:tcW w:w="461" w:type="dxa"/>
            <w:vMerge w:val="continue"/>
            <w:vAlign w:val="center"/>
          </w:tcPr>
          <w:p>
            <w:pPr>
              <w:spacing w:line="240" w:lineRule="exact"/>
              <w:rPr>
                <w:rFonts w:ascii="方正仿宋_GBK" w:hAnsi="宋体" w:eastAsia="方正仿宋_GBK" w:cs="仿宋_GB2312"/>
                <w:sz w:val="21"/>
                <w:szCs w:val="21"/>
                <w:lang w:val="zh-CN"/>
              </w:rPr>
            </w:pPr>
          </w:p>
        </w:tc>
        <w:tc>
          <w:tcPr>
            <w:tcW w:w="4927" w:type="dxa"/>
            <w:vAlign w:val="center"/>
          </w:tcPr>
          <w:p>
            <w:pPr>
              <w:spacing w:line="240" w:lineRule="exact"/>
              <w:rPr>
                <w:rFonts w:ascii="方正仿宋_GBK" w:hAnsi="宋体" w:eastAsia="方正仿宋_GBK"/>
                <w:sz w:val="21"/>
                <w:szCs w:val="21"/>
              </w:rPr>
            </w:pPr>
            <w:r>
              <w:rPr>
                <w:rFonts w:hint="eastAsia" w:ascii="方正仿宋_GBK" w:hAnsi="仿宋" w:eastAsia="方正仿宋_GBK"/>
                <w:sz w:val="21"/>
                <w:szCs w:val="21"/>
              </w:rPr>
              <w:t>（6）法律、行政法规规定的其他条件</w:t>
            </w:r>
          </w:p>
        </w:tc>
        <w:tc>
          <w:tcPr>
            <w:tcW w:w="3564" w:type="dxa"/>
            <w:vAlign w:val="center"/>
          </w:tcPr>
          <w:p>
            <w:pPr>
              <w:spacing w:line="240" w:lineRule="exact"/>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pacing w:line="240" w:lineRule="exact"/>
              <w:jc w:val="center"/>
              <w:rPr>
                <w:rFonts w:ascii="方正仿宋_GBK" w:hAnsi="宋体" w:eastAsia="方正仿宋_GBK"/>
                <w:sz w:val="21"/>
                <w:szCs w:val="21"/>
              </w:rPr>
            </w:pPr>
            <w:r>
              <w:rPr>
                <w:rFonts w:hint="eastAsia" w:ascii="方正仿宋_GBK" w:hAnsi="仿宋" w:eastAsia="方正仿宋_GBK"/>
                <w:sz w:val="21"/>
                <w:szCs w:val="21"/>
              </w:rPr>
              <w:t>2</w:t>
            </w:r>
          </w:p>
        </w:tc>
        <w:tc>
          <w:tcPr>
            <w:tcW w:w="5388" w:type="dxa"/>
            <w:gridSpan w:val="2"/>
            <w:vAlign w:val="center"/>
          </w:tcPr>
          <w:p>
            <w:pPr>
              <w:spacing w:line="240" w:lineRule="exact"/>
              <w:rPr>
                <w:rFonts w:ascii="方正仿宋_GBK" w:hAnsi="宋体" w:eastAsia="方正仿宋_GBK"/>
                <w:sz w:val="21"/>
                <w:szCs w:val="21"/>
              </w:rPr>
            </w:pPr>
            <w:r>
              <w:rPr>
                <w:rFonts w:hint="eastAsia" w:ascii="方正仿宋_GBK" w:hAnsi="仿宋" w:eastAsia="方正仿宋_GBK"/>
                <w:sz w:val="21"/>
                <w:szCs w:val="21"/>
              </w:rPr>
              <w:t>特定资格条件</w:t>
            </w:r>
          </w:p>
        </w:tc>
        <w:tc>
          <w:tcPr>
            <w:tcW w:w="3564" w:type="dxa"/>
            <w:vAlign w:val="center"/>
          </w:tcPr>
          <w:p>
            <w:pPr>
              <w:spacing w:line="240" w:lineRule="exact"/>
              <w:rPr>
                <w:rFonts w:ascii="方正仿宋_GBK" w:hAnsi="宋体" w:eastAsia="方正仿宋_GBK"/>
                <w:sz w:val="21"/>
                <w:szCs w:val="21"/>
              </w:rPr>
            </w:pPr>
            <w:r>
              <w:rPr>
                <w:rFonts w:hint="eastAsia" w:ascii="方正仿宋_GBK" w:hAnsi="仿宋" w:eastAsia="方正仿宋_GBK"/>
                <w:sz w:val="21"/>
                <w:szCs w:val="21"/>
              </w:rPr>
              <w:t>按第一篇“三、供应商资格要求（二）特定资格条件”的要求提交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pacing w:line="240" w:lineRule="exact"/>
              <w:jc w:val="center"/>
              <w:rPr>
                <w:rFonts w:ascii="方正仿宋_GBK" w:hAnsi="宋体" w:eastAsia="方正仿宋_GBK"/>
                <w:sz w:val="21"/>
                <w:szCs w:val="21"/>
              </w:rPr>
            </w:pPr>
            <w:r>
              <w:rPr>
                <w:rFonts w:hint="eastAsia" w:ascii="方正仿宋_GBK" w:hAnsi="仿宋" w:eastAsia="方正仿宋_GBK"/>
                <w:sz w:val="21"/>
                <w:szCs w:val="21"/>
              </w:rPr>
              <w:t>3</w:t>
            </w:r>
          </w:p>
        </w:tc>
        <w:tc>
          <w:tcPr>
            <w:tcW w:w="5388" w:type="dxa"/>
            <w:gridSpan w:val="2"/>
            <w:vAlign w:val="center"/>
          </w:tcPr>
          <w:p>
            <w:pPr>
              <w:spacing w:line="240" w:lineRule="exact"/>
              <w:rPr>
                <w:rFonts w:ascii="方正仿宋_GBK" w:hAnsi="宋体" w:eastAsia="方正仿宋_GBK"/>
                <w:sz w:val="21"/>
                <w:szCs w:val="21"/>
              </w:rPr>
            </w:pPr>
            <w:r>
              <w:rPr>
                <w:rFonts w:hint="eastAsia" w:ascii="方正仿宋_GBK" w:hAnsi="仿宋" w:eastAsia="方正仿宋_GBK"/>
                <w:sz w:val="21"/>
                <w:szCs w:val="21"/>
              </w:rPr>
              <w:t>保证金</w:t>
            </w:r>
          </w:p>
        </w:tc>
        <w:tc>
          <w:tcPr>
            <w:tcW w:w="3564" w:type="dxa"/>
            <w:vAlign w:val="center"/>
          </w:tcPr>
          <w:p>
            <w:pPr>
              <w:spacing w:line="240" w:lineRule="exact"/>
              <w:rPr>
                <w:rFonts w:ascii="方正仿宋_GBK" w:hAnsi="宋体" w:eastAsia="方正仿宋_GBK"/>
                <w:sz w:val="21"/>
                <w:szCs w:val="21"/>
              </w:rPr>
            </w:pPr>
            <w:r>
              <w:rPr>
                <w:rFonts w:hint="eastAsia" w:ascii="方正仿宋_GBK" w:hAnsi="仿宋" w:eastAsia="方正仿宋_GBK"/>
                <w:sz w:val="21"/>
                <w:szCs w:val="21"/>
              </w:rPr>
              <w:t>按照竞争性谈判文件要求足额交纳保证金</w:t>
            </w:r>
          </w:p>
        </w:tc>
      </w:tr>
    </w:tbl>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供应商按“多证合一”登记制度办理营业执照的，组织机构代码证和税务登记证（副本）以供应商所提供的营业执照（副本）复印件为准。</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行政处罚中“较大数额”的认定标准，由被执行人所在的省、自治区、直辖市人民政府制定，国务院有关部门规定了较大数额标准的，从其规定。</w:t>
      </w:r>
    </w:p>
    <w:p>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cs="宋体"/>
          <w:kern w:val="0"/>
          <w:sz w:val="24"/>
          <w:szCs w:val="24"/>
        </w:rPr>
        <w:t>2.符合性检查。依据竞争性谈判文件的规定，从响应文件的有效性、完整性和对竞争性谈判文件的响应程度进行审查，以确定是否对竞争性谈判文件的实质性要求作出响应。</w:t>
      </w:r>
      <w:r>
        <w:rPr>
          <w:rFonts w:hint="eastAsia" w:ascii="方正仿宋_GBK" w:eastAsia="方正仿宋_GBK"/>
          <w:kern w:val="0"/>
          <w:sz w:val="24"/>
          <w:szCs w:val="24"/>
        </w:rPr>
        <w:t>符合性检查资料表如下：</w:t>
      </w:r>
    </w:p>
    <w:tbl>
      <w:tblPr>
        <w:tblStyle w:val="1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评审因素</w:t>
            </w:r>
          </w:p>
        </w:tc>
        <w:tc>
          <w:tcPr>
            <w:tcW w:w="5409" w:type="dxa"/>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1560" w:type="dxa"/>
            <w:vMerge w:val="restart"/>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有效性审查</w:t>
            </w: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响应文件签署</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宋体"/>
                <w:kern w:val="0"/>
                <w:sz w:val="21"/>
                <w:szCs w:val="21"/>
              </w:rPr>
            </w:pPr>
          </w:p>
        </w:tc>
        <w:tc>
          <w:tcPr>
            <w:tcW w:w="1984"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5409"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法定代表人身份证明及授权委托书有效，符合竞争性谈判文件规定的格式，签字或盖章齐全。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宋体"/>
                <w:kern w:val="0"/>
                <w:sz w:val="21"/>
                <w:szCs w:val="21"/>
              </w:rPr>
            </w:pPr>
          </w:p>
        </w:tc>
        <w:tc>
          <w:tcPr>
            <w:tcW w:w="1984"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宋体"/>
                <w:kern w:val="0"/>
                <w:sz w:val="21"/>
                <w:szCs w:val="21"/>
              </w:rPr>
            </w:pPr>
          </w:p>
        </w:tc>
        <w:tc>
          <w:tcPr>
            <w:tcW w:w="1984"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1560"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完整性审查</w:t>
            </w: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文件正、副本数量（含电子文档）符合</w:t>
            </w:r>
            <w:r>
              <w:rPr>
                <w:rFonts w:hint="eastAsia" w:ascii="方正仿宋_GBK" w:hAnsi="宋体" w:eastAsia="方正仿宋_GBK" w:cs="仿宋_GB2312"/>
                <w:sz w:val="21"/>
                <w:szCs w:val="21"/>
              </w:rPr>
              <w:t>竞争性谈判</w:t>
            </w:r>
            <w:r>
              <w:rPr>
                <w:rFonts w:hint="eastAsia" w:ascii="方正仿宋_GBK" w:hAnsi="宋体" w:eastAsia="方正仿宋_GBK" w:cs="仿宋_GB2312"/>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1560" w:type="dxa"/>
            <w:vMerge w:val="restart"/>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宋体"/>
                <w:kern w:val="0"/>
                <w:sz w:val="21"/>
                <w:szCs w:val="21"/>
              </w:rPr>
              <w:t>竞争性谈判文件的响应程度审查</w:t>
            </w: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5409" w:type="dxa"/>
            <w:vAlign w:val="center"/>
          </w:tcPr>
          <w:p>
            <w:pPr>
              <w:pStyle w:val="11"/>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对竞争性谈判文件第二篇、第三篇规定的谈判内容进行响应。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仿宋_GB2312"/>
                <w:sz w:val="21"/>
                <w:szCs w:val="21"/>
                <w:lang w:val="zh-CN"/>
              </w:rPr>
            </w:pP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谈判有效期</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满足谈判文件</w:t>
            </w:r>
            <w:r>
              <w:rPr>
                <w:rFonts w:hint="eastAsia" w:ascii="方正仿宋_GBK" w:hAnsi="宋体" w:eastAsia="方正仿宋_GBK" w:cs="仿宋_GB2312"/>
                <w:sz w:val="21"/>
                <w:szCs w:val="21"/>
                <w:lang w:val="zh-CN"/>
              </w:rPr>
              <w:t>规定。</w:t>
            </w:r>
          </w:p>
        </w:tc>
      </w:tr>
    </w:tbl>
    <w:p>
      <w:pPr>
        <w:spacing w:line="400" w:lineRule="exact"/>
        <w:ind w:firstLine="240" w:firstLineChars="100"/>
        <w:rPr>
          <w:rFonts w:ascii="方正仿宋_GBK" w:hAnsi="宋体" w:eastAsia="方正仿宋_GBK"/>
          <w:sz w:val="24"/>
          <w:szCs w:val="24"/>
        </w:rPr>
      </w:pPr>
      <w:r>
        <w:rPr>
          <w:rFonts w:hint="eastAsia" w:ascii="方正仿宋_GBK" w:hAnsi="宋体" w:eastAsia="方正仿宋_GBK"/>
          <w:sz w:val="24"/>
          <w:szCs w:val="24"/>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（五）在谈判过程中谈判的任何一方不得向他人透露与谈判有关的技术资料、价格或其他信息。</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（七）供应商在谈判时作出的所有书面承诺须由法定代表人或其授权代表签字。</w:t>
      </w:r>
    </w:p>
    <w:p>
      <w:pPr>
        <w:spacing w:line="390" w:lineRule="exact"/>
        <w:ind w:firstLine="360" w:firstLineChars="150"/>
        <w:rPr>
          <w:rFonts w:ascii="方正仿宋_GBK" w:hAnsi="宋体" w:eastAsia="方正仿宋_GBK"/>
          <w:b/>
          <w:sz w:val="24"/>
          <w:szCs w:val="24"/>
        </w:rPr>
      </w:pPr>
      <w:r>
        <w:rPr>
          <w:rFonts w:hint="eastAsia" w:ascii="方正仿宋_GBK" w:hAnsi="宋体" w:eastAsia="方正仿宋_GBK"/>
          <w:sz w:val="24"/>
          <w:szCs w:val="24"/>
        </w:rPr>
        <w:t>（八）谈判结束后，谈判小组要求所有参加正式谈判的供应商在规定时间内同时书面提交最后报价及有关承诺（填写《最后报价表》提交）。</w:t>
      </w:r>
      <w:r>
        <w:rPr>
          <w:rFonts w:ascii="方正仿宋_GBK" w:hAnsi="宋体" w:eastAsia="方正仿宋_GBK"/>
          <w:sz w:val="24"/>
          <w:szCs w:val="24"/>
        </w:rPr>
        <w:t>已提交响应文件</w:t>
      </w:r>
      <w:r>
        <w:rPr>
          <w:rFonts w:hint="eastAsia" w:ascii="方正仿宋_GBK" w:hAnsi="宋体" w:eastAsia="方正仿宋_GBK"/>
          <w:sz w:val="24"/>
          <w:szCs w:val="24"/>
        </w:rPr>
        <w:t>但未在规定时间内进行最后报价</w:t>
      </w:r>
      <w:r>
        <w:rPr>
          <w:rFonts w:ascii="方正仿宋_GBK" w:hAnsi="宋体" w:eastAsia="方正仿宋_GBK"/>
          <w:sz w:val="24"/>
          <w:szCs w:val="24"/>
        </w:rPr>
        <w:t>的供应商，</w:t>
      </w:r>
      <w:r>
        <w:rPr>
          <w:rFonts w:hint="eastAsia" w:ascii="方正仿宋_GBK" w:hAnsi="宋体" w:eastAsia="方正仿宋_GBK"/>
          <w:sz w:val="24"/>
          <w:szCs w:val="24"/>
        </w:rPr>
        <w:t>视</w:t>
      </w:r>
      <w:r>
        <w:rPr>
          <w:rFonts w:hint="eastAsia" w:ascii="方正仿宋_GBK" w:hAnsi="方正仿宋_GBK" w:eastAsia="方正仿宋_GBK" w:cs="方正仿宋_GBK"/>
          <w:sz w:val="24"/>
          <w:szCs w:val="24"/>
        </w:rPr>
        <w:t>为放弃最后报价，以供应商响应文件中的报价为准。</w:t>
      </w:r>
      <w:r>
        <w:rPr>
          <w:rFonts w:hint="eastAsia" w:ascii="方正仿宋_GBK" w:hAnsi="方正仿宋_GBK" w:eastAsia="方正仿宋_GBK" w:cs="方正仿宋_GBK"/>
          <w:kern w:val="0"/>
          <w:sz w:val="24"/>
          <w:szCs w:val="24"/>
        </w:rPr>
        <w:t>谈判小组还可视情况要求供应商进行多次报价。</w:t>
      </w:r>
    </w:p>
    <w:p>
      <w:pPr>
        <w:pStyle w:val="5"/>
        <w:spacing w:line="400" w:lineRule="exact"/>
        <w:rPr>
          <w:rFonts w:ascii="方正仿宋_GBK" w:eastAsia="方正仿宋_GBK"/>
          <w:sz w:val="24"/>
          <w:szCs w:val="24"/>
        </w:rPr>
      </w:pPr>
      <w:bookmarkStart w:id="81" w:name="_Toc17636"/>
      <w:bookmarkStart w:id="82" w:name="_Toc22556"/>
      <w:bookmarkStart w:id="83" w:name="_Toc28446"/>
      <w:bookmarkStart w:id="84" w:name="_Toc102227320"/>
      <w:bookmarkStart w:id="85" w:name="_Toc342913394"/>
      <w:r>
        <w:rPr>
          <w:rFonts w:hint="eastAsia" w:ascii="方正仿宋_GBK" w:eastAsia="方正仿宋_GBK"/>
          <w:sz w:val="24"/>
          <w:szCs w:val="24"/>
        </w:rPr>
        <w:t>五、评审依据</w:t>
      </w:r>
      <w:bookmarkEnd w:id="81"/>
      <w:bookmarkEnd w:id="82"/>
      <w:bookmarkEnd w:id="83"/>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评审的依据为竞争性谈判文件和响应文件（含有效的补充文件）。谈判小组判断响应文件对竞争性谈判文件的响应，仅基于响应文件本身而不靠外部证据。</w:t>
      </w:r>
    </w:p>
    <w:p>
      <w:pPr>
        <w:pStyle w:val="5"/>
        <w:spacing w:line="400" w:lineRule="exact"/>
        <w:rPr>
          <w:rFonts w:ascii="方正仿宋_GBK" w:eastAsia="方正仿宋_GBK"/>
          <w:sz w:val="24"/>
          <w:szCs w:val="24"/>
        </w:rPr>
      </w:pPr>
      <w:bookmarkStart w:id="86" w:name="_Toc10051"/>
      <w:bookmarkStart w:id="87" w:name="_Toc13240"/>
      <w:bookmarkStart w:id="88" w:name="_Toc28808"/>
      <w:r>
        <w:rPr>
          <w:rFonts w:hint="eastAsia" w:ascii="方正仿宋_GBK" w:eastAsia="方正仿宋_GBK"/>
          <w:sz w:val="24"/>
          <w:szCs w:val="24"/>
        </w:rPr>
        <w:t>六、成交</w:t>
      </w:r>
      <w:bookmarkEnd w:id="84"/>
      <w:r>
        <w:rPr>
          <w:rFonts w:hint="eastAsia" w:ascii="方正仿宋_GBK" w:eastAsia="方正仿宋_GBK"/>
          <w:sz w:val="24"/>
          <w:szCs w:val="24"/>
        </w:rPr>
        <w:t>原则</w:t>
      </w:r>
      <w:bookmarkEnd w:id="85"/>
      <w:bookmarkEnd w:id="86"/>
      <w:bookmarkEnd w:id="87"/>
      <w:bookmarkEnd w:id="88"/>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（一）评审办法</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谈判小组将依照本竞争性谈判文件相关规定对质量和服务均能满足竞争性谈判实质性响应要求的供应商所提交的最后报价进行政策性扣减，并依据扣减后的价格按照由低到高的顺序提出3名以上成交候选人，并编写评审报告。</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2.若供应商的最后报价经扣减后价格相同，按技术参数（条款）的优劣顺序排列；以上都相同的，按服务条款的优劣顺序排列。</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3.成交价格=成交供应商的最后报价</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（二）评审细则：</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1.资格符合性检查</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依据法律法规和竞争性谈判文件的规定，对供应商的资格证明、保证金等进行审查，以确定供应商是否具备谈判资格。</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2.对响应文件的有效性、完整性和响应程度检查</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 若同一合同项（分包）下为单一品目的或非单一品目核心产品品牌的货物采购中，同一品牌同一型号产品有多家供应商参加谈判，只能按照一家供应商计算。谈判时在其他条件（资格符合性检查、响应文件的有效性、完整性和响应程度检查）合格的前提下，选取报价最低的供应商进入评审，舍掉其他供应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4.成交供应商的确定：</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4.1“第三篇 谈判项目技术需求”有一条及以上不能满足竞争性谈判文件要求的供应商将失去成为成交供应商的资格；</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4.2“第四篇 谈判项目服务需求”有一条及以上不能满足竞争性谈判文件要求的供应商将失去成为成交供应商的资格。</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4.4谈判小组将依照评审办法提出成交候选人。</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4.5部门集中采购机构</w:t>
      </w:r>
      <w:r>
        <w:rPr>
          <w:rFonts w:ascii="方正仿宋_GBK" w:hAnsi="宋体" w:eastAsia="方正仿宋_GBK"/>
          <w:sz w:val="24"/>
          <w:szCs w:val="24"/>
        </w:rPr>
        <w:t>应当在评审结束后2个工作日内将评审报告送采购人确认。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snapToGrid w:val="0"/>
        <w:spacing w:line="400" w:lineRule="exact"/>
        <w:ind w:firstLine="400" w:firstLineChars="167"/>
        <w:rPr>
          <w:rFonts w:ascii="方正仿宋_GBK" w:hAnsi="宋体" w:eastAsia="方正仿宋_GBK"/>
          <w:sz w:val="24"/>
          <w:szCs w:val="24"/>
        </w:rPr>
      </w:pPr>
      <w:r>
        <w:rPr>
          <w:rFonts w:hint="eastAsia" w:ascii="方正仿宋_GBK" w:hAnsi="宋体" w:eastAsia="方正仿宋_GBK"/>
          <w:sz w:val="24"/>
          <w:szCs w:val="24"/>
        </w:rPr>
        <w:t>5.成交供应商的变更</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5.1若成交供应商因不可抗力或者自身原因不能履行合同的，采购人可以确定排名其后一位的成交候选人为成交供应商，报价不超过前一名报价5%的成交候选人；</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5.2采购人须按以上程序确认成交供应商；否则应重新组织采购。</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5.3成交供应商无充分理由放弃成交的，采购人和部门集中采购机构没收投标保证金，并列为黑名单，情节严重的把相关情况通报在重庆市行采家（https://www.gec123.com/）和重庆城市管理职业学院招标采购中心（http://www.cswu.cn/zbzx/）。</w:t>
      </w:r>
    </w:p>
    <w:p>
      <w:pPr>
        <w:snapToGrid w:val="0"/>
        <w:spacing w:line="400" w:lineRule="exact"/>
        <w:ind w:firstLine="360" w:firstLineChars="150"/>
        <w:rPr>
          <w:rFonts w:ascii="方正仿宋_GBK" w:hAnsi="宋体" w:eastAsia="方正仿宋_GBK"/>
          <w:sz w:val="24"/>
          <w:szCs w:val="24"/>
        </w:rPr>
      </w:pPr>
      <w:bookmarkStart w:id="89" w:name="_Toc342913395"/>
      <w:bookmarkStart w:id="90" w:name="_Toc102227321"/>
      <w:r>
        <w:rPr>
          <w:rFonts w:hint="eastAsia" w:ascii="方正仿宋_GBK" w:hAnsi="宋体" w:eastAsia="方正仿宋_GBK"/>
          <w:sz w:val="24"/>
          <w:szCs w:val="24"/>
        </w:rPr>
        <w:t>6.出现下列情形之一的，采购人或者部门集中采购机构应当终止竞争性谈判采购活动，发布项目终止公告并说明原因，重新开展采购活动：</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6.1因情况变化，不再符合规定的竞争性谈判采购方式适用情形的；</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6.2出现影响采购公正的违法、违规行为的；</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6.3在采购过程中符合竞争要求的供应商或者报价未超过采购预算的供应商不足3家的。</w:t>
      </w:r>
    </w:p>
    <w:p>
      <w:pPr>
        <w:pStyle w:val="5"/>
        <w:spacing w:line="400" w:lineRule="exact"/>
        <w:rPr>
          <w:rFonts w:ascii="方正仿宋_GBK" w:eastAsia="方正仿宋_GBK"/>
          <w:sz w:val="24"/>
          <w:szCs w:val="24"/>
        </w:rPr>
      </w:pPr>
      <w:bookmarkStart w:id="91" w:name="_Toc1779"/>
      <w:bookmarkStart w:id="92" w:name="_Toc9184"/>
      <w:bookmarkStart w:id="93" w:name="_Toc15098"/>
      <w:r>
        <w:rPr>
          <w:rFonts w:hint="eastAsia" w:ascii="方正仿宋_GBK" w:eastAsia="方正仿宋_GBK"/>
          <w:sz w:val="24"/>
          <w:szCs w:val="24"/>
        </w:rPr>
        <w:t>七、成交通知</w:t>
      </w:r>
      <w:bookmarkEnd w:id="89"/>
      <w:bookmarkEnd w:id="90"/>
      <w:bookmarkEnd w:id="91"/>
      <w:bookmarkEnd w:id="92"/>
      <w:bookmarkEnd w:id="93"/>
    </w:p>
    <w:p>
      <w:pPr>
        <w:spacing w:line="400" w:lineRule="exact"/>
        <w:ind w:firstLine="360" w:firstLineChars="150"/>
        <w:rPr>
          <w:rFonts w:ascii="方正仿宋_GBK" w:hAnsi="方正仿宋_GBK" w:eastAsia="方正仿宋_GBK" w:cs="方正仿宋_GBK"/>
          <w:sz w:val="24"/>
          <w:szCs w:val="24"/>
        </w:rPr>
      </w:pPr>
      <w:r>
        <w:rPr>
          <w:rFonts w:hint="eastAsia" w:ascii="方正仿宋_GBK" w:hAnsi="宋体" w:eastAsia="方正仿宋_GBK"/>
          <w:sz w:val="24"/>
          <w:szCs w:val="24"/>
        </w:rPr>
        <w:t>（一）成交供应商确定后，重庆城市管理职业学院招标采购中心将在重庆市行采家（https://www.gec123.com/）和重庆城市管理职业学院招标采购中心（http://www.cswu.cn/zbzx/）</w:t>
      </w:r>
      <w:r>
        <w:rPr>
          <w:rFonts w:hint="eastAsia" w:ascii="方正仿宋_GBK" w:hAnsi="方正仿宋_GBK" w:eastAsia="方正仿宋_GBK" w:cs="方正仿宋_GBK"/>
          <w:sz w:val="24"/>
          <w:szCs w:val="24"/>
        </w:rPr>
        <w:t>上发布成交结果公告。</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（二）结果公告发布后，公告期满无异议，第一中标候选人自动成为中标单位。中标单位可以到学校招标采购中心领取成交通知书。</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（三）如有供应商对成交结果提出质疑的，在质疑处理完毕后发出成交通知书。</w:t>
      </w:r>
    </w:p>
    <w:p>
      <w:pPr>
        <w:pStyle w:val="5"/>
        <w:spacing w:line="400" w:lineRule="exact"/>
        <w:rPr>
          <w:rFonts w:ascii="方正仿宋_GBK" w:eastAsia="方正仿宋_GBK"/>
          <w:sz w:val="24"/>
          <w:szCs w:val="24"/>
        </w:rPr>
      </w:pPr>
      <w:bookmarkStart w:id="94" w:name="_Toc2935"/>
      <w:bookmarkStart w:id="95" w:name="_Toc10801"/>
      <w:bookmarkStart w:id="96" w:name="_Toc10987"/>
      <w:r>
        <w:rPr>
          <w:rFonts w:hint="eastAsia" w:ascii="方正仿宋_GBK" w:eastAsia="方正仿宋_GBK"/>
          <w:sz w:val="24"/>
          <w:szCs w:val="24"/>
        </w:rPr>
        <w:t>八、关于质疑和投诉</w:t>
      </w:r>
      <w:bookmarkEnd w:id="94"/>
      <w:bookmarkEnd w:id="95"/>
      <w:bookmarkEnd w:id="96"/>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（一）质疑内容、时限</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1.供应商对成交结果有异议的，应当在结果预公示发布之日起七个工作日内以书面形式向重庆城市管理职业学院招标采购中心提出质疑，并附相关证明材料。</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2.供应商对竞争性谈判文件中供应商特定资格条件、技术质量和商务要求、评审标准及评审细则有异议的，应主要向采购人提出质疑，其他问题可向重庆城市管理职业学院招标采购中心提出质疑。</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（二）质疑答复</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重庆城市管理职业学院招标采购中心</w:t>
      </w:r>
      <w:r>
        <w:rPr>
          <w:rFonts w:hint="eastAsia" w:ascii="方正仿宋_GBK" w:hAnsi="方正仿宋_GBK" w:eastAsia="方正仿宋_GBK"/>
          <w:sz w:val="24"/>
        </w:rPr>
        <w:t>在收到供应商书面质疑后七个工作日内，对质疑内容作出答复</w:t>
      </w:r>
      <w:r>
        <w:rPr>
          <w:rFonts w:hint="eastAsia" w:ascii="方正仿宋_GBK" w:hAnsi="宋体" w:eastAsia="方正仿宋_GBK"/>
          <w:sz w:val="24"/>
          <w:szCs w:val="24"/>
        </w:rPr>
        <w:t>。</w:t>
      </w:r>
    </w:p>
    <w:p>
      <w:pPr>
        <w:spacing w:line="400" w:lineRule="exact"/>
        <w:rPr>
          <w:rFonts w:ascii="方正仿宋_GBK" w:hAnsi="宋体" w:eastAsia="方正仿宋_GBK"/>
          <w:sz w:val="24"/>
          <w:szCs w:val="24"/>
        </w:rPr>
      </w:pPr>
      <w:r>
        <w:rPr>
          <w:rFonts w:hint="eastAsia" w:ascii="方正仿宋_GBK" w:hAnsi="宋体" w:eastAsia="方正仿宋_GBK"/>
          <w:sz w:val="24"/>
          <w:szCs w:val="24"/>
        </w:rPr>
        <w:t xml:space="preserve">   （三）不予受理或暂缓受理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1.质疑有下列情形之一的，不予受理：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1.1质疑供应商参与了谈判活动后，再对竞争性谈判文件内容提出质疑的；</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1.2质疑超过有效期的；</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1.3对同一事项重复质疑的。</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2.质疑有下列情形之一的，应暂不受理并告知供应商补充材料。供应商及时补充材料的，应予受理；逾期未补充的，不予受理：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2.1质疑书格式和内容不符合国家或重庆市相关规定的；</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2.2质疑书提供的依据或证明材料不全的；</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2.3质疑书副本数量不足的。</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（四）投诉</w:t>
      </w:r>
    </w:p>
    <w:p>
      <w:pPr>
        <w:spacing w:line="400" w:lineRule="exact"/>
        <w:ind w:right="12" w:firstLine="480"/>
        <w:rPr>
          <w:rFonts w:ascii="方正仿宋_GBK" w:hAnsi="方正仿宋_GBK" w:eastAsia="方正仿宋_GBK"/>
          <w:sz w:val="24"/>
        </w:rPr>
      </w:pPr>
      <w:r>
        <w:rPr>
          <w:rFonts w:hint="eastAsia" w:ascii="方正仿宋_GBK" w:hAnsi="方正仿宋_GBK" w:eastAsia="方正仿宋_GBK"/>
          <w:sz w:val="24"/>
        </w:rPr>
        <w:t>1.供应商对</w:t>
      </w:r>
      <w:r>
        <w:rPr>
          <w:rFonts w:hint="eastAsia" w:ascii="方正仿宋_GBK" w:hAnsi="宋体" w:eastAsia="方正仿宋_GBK"/>
          <w:sz w:val="24"/>
          <w:szCs w:val="24"/>
        </w:rPr>
        <w:t>重庆城市管理职业学院招标采购中心</w:t>
      </w:r>
      <w:r>
        <w:rPr>
          <w:rFonts w:hint="eastAsia" w:ascii="方正仿宋_GBK" w:hAnsi="方正仿宋_GBK" w:eastAsia="方正仿宋_GBK"/>
          <w:sz w:val="24"/>
        </w:rPr>
        <w:t>的答复不满意，或者</w:t>
      </w:r>
      <w:r>
        <w:rPr>
          <w:rFonts w:hint="eastAsia" w:ascii="方正仿宋_GBK" w:hAnsi="宋体" w:eastAsia="方正仿宋_GBK"/>
          <w:sz w:val="24"/>
          <w:szCs w:val="24"/>
        </w:rPr>
        <w:t>重庆城市管理职业学院招标采购中心</w:t>
      </w:r>
      <w:r>
        <w:rPr>
          <w:rFonts w:hint="eastAsia" w:ascii="方正仿宋_GBK" w:hAnsi="方正仿宋_GBK" w:eastAsia="方正仿宋_GBK"/>
          <w:sz w:val="24"/>
        </w:rPr>
        <w:t>未在规定时间内答复的，可在答复期满后十五个工作日内按有关规定，向同级财政部门投诉。</w:t>
      </w:r>
    </w:p>
    <w:p>
      <w:pPr>
        <w:spacing w:line="400" w:lineRule="exact"/>
        <w:ind w:right="12" w:firstLine="480"/>
        <w:rPr>
          <w:rFonts w:ascii="方正仿宋_GBK" w:hAnsi="方正仿宋_GBK" w:eastAsia="方正仿宋_GBK"/>
          <w:sz w:val="24"/>
        </w:rPr>
      </w:pPr>
      <w:r>
        <w:rPr>
          <w:rFonts w:hint="eastAsia" w:ascii="方正仿宋_GBK" w:hAnsi="方正仿宋_GBK" w:eastAsia="方正仿宋_GBK"/>
          <w:sz w:val="24"/>
        </w:rPr>
        <w:t>2.在提出投诉时，应附送相关证明材料。投诉书及证明材料为外文的，应同时提供其中文译本；中文与外文意思不一致的，以中文为准。</w:t>
      </w:r>
    </w:p>
    <w:p>
      <w:pPr>
        <w:spacing w:line="400" w:lineRule="exact"/>
        <w:ind w:firstLine="480" w:firstLineChars="200"/>
        <w:rPr>
          <w:rFonts w:ascii="方正仿宋_GBK" w:hAnsi="宋体" w:eastAsia="方正仿宋_GBK"/>
          <w:sz w:val="24"/>
          <w:szCs w:val="24"/>
        </w:rPr>
      </w:pPr>
      <w:r>
        <w:rPr>
          <w:rFonts w:hint="eastAsia" w:ascii="方正仿宋_GBK" w:hAnsi="方正仿宋_GBK" w:eastAsia="方正仿宋_GBK"/>
          <w:sz w:val="24"/>
        </w:rPr>
        <w:t>3.在确定受理投诉后，财政部门自受理投诉之日起三十个工作日内（</w:t>
      </w:r>
      <w:r>
        <w:rPr>
          <w:rFonts w:ascii="方正仿宋_GBK" w:hAnsi="方正仿宋_GBK" w:eastAsia="方正仿宋_GBK"/>
          <w:sz w:val="24"/>
        </w:rPr>
        <w:t>进行调查取证或者组织质证</w:t>
      </w:r>
      <w:r>
        <w:rPr>
          <w:rFonts w:hint="eastAsia" w:ascii="方正仿宋_GBK" w:hAnsi="方正仿宋_GBK" w:eastAsia="方正仿宋_GBK"/>
          <w:sz w:val="24"/>
        </w:rPr>
        <w:t>时间除外）对投诉事项做出处理决定，并将投诉处理决定书送达投诉人、被投诉人和其他与投诉处理决定有利害关系的政府采购相关当事人，同时在重庆市政府采购网公告投诉处理决定书</w:t>
      </w:r>
      <w:r>
        <w:rPr>
          <w:rFonts w:hint="eastAsia" w:ascii="方正仿宋_GBK" w:hAnsi="宋体" w:eastAsia="方正仿宋_GBK"/>
          <w:sz w:val="24"/>
          <w:szCs w:val="24"/>
        </w:rPr>
        <w:t>。</w:t>
      </w:r>
    </w:p>
    <w:p>
      <w:pPr>
        <w:pStyle w:val="5"/>
        <w:spacing w:line="400" w:lineRule="exact"/>
        <w:rPr>
          <w:rFonts w:ascii="方正仿宋_GBK" w:eastAsia="方正仿宋_GBK"/>
          <w:sz w:val="24"/>
          <w:szCs w:val="24"/>
        </w:rPr>
      </w:pPr>
      <w:bookmarkStart w:id="97" w:name="_Toc8028"/>
      <w:bookmarkStart w:id="98" w:name="_Toc5081"/>
      <w:bookmarkStart w:id="99" w:name="_Toc9972"/>
      <w:bookmarkStart w:id="100" w:name="_Toc102227322"/>
      <w:bookmarkStart w:id="101" w:name="_Toc342913396"/>
      <w:r>
        <w:rPr>
          <w:rFonts w:hint="eastAsia" w:ascii="方正仿宋_GBK" w:eastAsia="方正仿宋_GBK"/>
          <w:sz w:val="24"/>
          <w:szCs w:val="24"/>
        </w:rPr>
        <w:t>九、签订合同</w:t>
      </w:r>
      <w:bookmarkEnd w:id="97"/>
      <w:bookmarkEnd w:id="98"/>
      <w:bookmarkEnd w:id="99"/>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采购人应当自公示期满无异议之日起30日内，按照竞争性谈判文件和成交供应商响应文件的约定，与成交供应商签订书面合同。所签订的合同不得对竞争性谈判文件和供应商的响应文件作实质性修改。逾期不与采购人签订合同的，采购人有权终止与该成交供应商关系并另行确定中标供应商或进行重新招标。</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（二）竞争性谈判文件、供应商的响应文件及澄清文件等，均为签订采购合同的依据。</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（四）合同原则上应按照《采购合同》签订，相关单位要求适用合同通用格式版本的，应按其要求另行签订其他合同。</w:t>
      </w:r>
    </w:p>
    <w:p>
      <w:pPr>
        <w:spacing w:line="400" w:lineRule="exact"/>
        <w:ind w:firstLine="360" w:firstLineChars="150"/>
        <w:rPr>
          <w:rFonts w:ascii="宋体" w:hAnsi="宋体"/>
          <w:sz w:val="24"/>
          <w:szCs w:val="24"/>
        </w:rPr>
        <w:sectPr>
          <w:pgSz w:w="11907" w:h="16840"/>
          <w:pgMar w:top="1134" w:right="1191" w:bottom="1134" w:left="1304" w:header="964" w:footer="992" w:gutter="0"/>
          <w:pgNumType w:fmt="numberInDash"/>
          <w:cols w:space="720" w:num="1"/>
          <w:docGrid w:linePitch="312" w:charSpace="0"/>
        </w:sectPr>
      </w:pPr>
      <w:r>
        <w:rPr>
          <w:rFonts w:hint="eastAsia" w:ascii="方正仿宋_GBK" w:hAnsi="宋体" w:eastAsia="方正仿宋_GBK"/>
          <w:sz w:val="24"/>
          <w:szCs w:val="24"/>
        </w:rPr>
        <w:t>（六）采购人要求成交供应商提供履约保证金的，应当在竞争性谈判文件中予以约定。成交供应商履约完毕后，采购人应于十五个工作日内无息退还其履约保证金。</w:t>
      </w:r>
      <w:bookmarkEnd w:id="100"/>
      <w:bookmarkEnd w:id="101"/>
    </w:p>
    <w:p>
      <w:pPr>
        <w:pStyle w:val="4"/>
        <w:spacing w:line="360" w:lineRule="auto"/>
        <w:jc w:val="center"/>
        <w:rPr>
          <w:rFonts w:ascii="方正小标宋_GBK" w:hAnsi="宋体" w:eastAsia="方正小标宋_GBK"/>
          <w:b w:val="0"/>
          <w:sz w:val="36"/>
          <w:szCs w:val="30"/>
        </w:rPr>
      </w:pPr>
      <w:bookmarkStart w:id="102" w:name="_Toc30797"/>
      <w:r>
        <w:rPr>
          <w:rFonts w:hint="eastAsia" w:ascii="方正小标宋_GBK" w:hAnsi="宋体" w:eastAsia="方正小标宋_GBK"/>
          <w:b w:val="0"/>
          <w:sz w:val="36"/>
          <w:szCs w:val="30"/>
        </w:rPr>
        <w:t xml:space="preserve">第五篇  </w:t>
      </w:r>
      <w:bookmarkEnd w:id="46"/>
      <w:bookmarkEnd w:id="47"/>
      <w:r>
        <w:rPr>
          <w:rFonts w:hint="eastAsia" w:ascii="方正小标宋_GBK" w:hAnsi="宋体" w:eastAsia="方正小标宋_GBK"/>
          <w:b w:val="0"/>
          <w:sz w:val="36"/>
          <w:szCs w:val="30"/>
        </w:rPr>
        <w:t>合同草案条款</w:t>
      </w:r>
      <w:bookmarkEnd w:id="53"/>
      <w:bookmarkEnd w:id="54"/>
      <w:bookmarkEnd w:id="55"/>
      <w:bookmarkEnd w:id="102"/>
    </w:p>
    <w:p>
      <w:pPr>
        <w:snapToGrid w:val="0"/>
        <w:spacing w:line="380" w:lineRule="exact"/>
        <w:ind w:firstLine="600" w:firstLineChars="250"/>
        <w:outlineLvl w:val="0"/>
        <w:rPr>
          <w:rFonts w:ascii="方正仿宋_GBK" w:hAnsi="宋体" w:eastAsia="方正仿宋_GBK"/>
          <w:bCs/>
          <w:sz w:val="24"/>
        </w:rPr>
      </w:pPr>
      <w:bookmarkStart w:id="103" w:name="_Toc6638"/>
      <w:bookmarkStart w:id="104" w:name="_Toc2327"/>
      <w:bookmarkStart w:id="105" w:name="_Toc25089_WPSOffice_Level2"/>
      <w:r>
        <w:rPr>
          <w:rFonts w:hint="eastAsia" w:ascii="方正仿宋_GBK" w:hAnsi="宋体" w:eastAsia="方正仿宋_GBK"/>
          <w:bCs/>
          <w:sz w:val="24"/>
        </w:rPr>
        <w:t>一、定义</w:t>
      </w:r>
      <w:bookmarkEnd w:id="103"/>
      <w:bookmarkEnd w:id="104"/>
      <w:bookmarkEnd w:id="105"/>
    </w:p>
    <w:p>
      <w:pPr>
        <w:snapToGrid w:val="0"/>
        <w:spacing w:line="380" w:lineRule="exact"/>
        <w:ind w:firstLine="360" w:firstLineChars="150"/>
        <w:outlineLvl w:val="0"/>
        <w:rPr>
          <w:rFonts w:ascii="方正仿宋_GBK" w:hAnsi="宋体" w:eastAsia="方正仿宋_GBK"/>
          <w:bCs/>
          <w:sz w:val="24"/>
        </w:rPr>
      </w:pPr>
      <w:bookmarkStart w:id="106" w:name="_Toc2217"/>
      <w:r>
        <w:rPr>
          <w:rFonts w:hint="eastAsia" w:ascii="方正仿宋_GBK" w:hAnsi="宋体" w:eastAsia="方正仿宋_GBK"/>
          <w:bCs/>
          <w:sz w:val="24"/>
        </w:rPr>
        <w:t>（一）甲方（需方）即采购人，是指通过竞争性谈判采购，接受合同货物及服务的各级国家机关、事业单位和团体组织。</w:t>
      </w:r>
      <w:bookmarkEnd w:id="106"/>
    </w:p>
    <w:p>
      <w:pPr>
        <w:snapToGrid w:val="0"/>
        <w:spacing w:line="380" w:lineRule="exact"/>
        <w:ind w:firstLine="360" w:firstLineChars="150"/>
        <w:outlineLvl w:val="0"/>
        <w:rPr>
          <w:rFonts w:ascii="方正仿宋_GBK" w:hAnsi="宋体" w:eastAsia="方正仿宋_GBK"/>
          <w:bCs/>
          <w:sz w:val="24"/>
        </w:rPr>
      </w:pPr>
      <w:bookmarkStart w:id="107" w:name="_Toc29395"/>
      <w:r>
        <w:rPr>
          <w:rFonts w:hint="eastAsia" w:ascii="方正仿宋_GBK" w:hAnsi="宋体" w:eastAsia="方正仿宋_GBK"/>
          <w:bCs/>
          <w:sz w:val="24"/>
        </w:rPr>
        <w:t>（二）乙方（供方）即成交供应商，是指成交后提供合同货物和服务的自然人、法人及其他组织。</w:t>
      </w:r>
      <w:bookmarkEnd w:id="107"/>
    </w:p>
    <w:p>
      <w:pPr>
        <w:snapToGrid w:val="0"/>
        <w:spacing w:line="380" w:lineRule="exact"/>
        <w:ind w:firstLine="360" w:firstLineChars="150"/>
        <w:outlineLvl w:val="0"/>
        <w:rPr>
          <w:rFonts w:ascii="方正仿宋_GBK" w:hAnsi="宋体" w:eastAsia="方正仿宋_GBK"/>
          <w:bCs/>
          <w:sz w:val="24"/>
        </w:rPr>
      </w:pPr>
      <w:bookmarkStart w:id="108" w:name="_Toc15779"/>
      <w:r>
        <w:rPr>
          <w:rFonts w:hint="eastAsia" w:ascii="方正仿宋_GBK" w:hAnsi="宋体" w:eastAsia="方正仿宋_GBK"/>
          <w:bCs/>
          <w:sz w:val="24"/>
        </w:rPr>
        <w:t>（三）合同是指由甲乙双方按照竞争性谈判文件和响应文件的实质性内容，通过协商一致达成的书面协议。</w:t>
      </w:r>
      <w:bookmarkEnd w:id="108"/>
    </w:p>
    <w:p>
      <w:pPr>
        <w:snapToGrid w:val="0"/>
        <w:spacing w:line="380" w:lineRule="exact"/>
        <w:ind w:firstLine="360" w:firstLineChars="150"/>
        <w:outlineLvl w:val="0"/>
        <w:rPr>
          <w:rFonts w:ascii="方正仿宋_GBK" w:hAnsi="宋体" w:eastAsia="方正仿宋_GBK"/>
          <w:bCs/>
          <w:sz w:val="24"/>
        </w:rPr>
      </w:pPr>
      <w:bookmarkStart w:id="109" w:name="_Toc13686"/>
      <w:r>
        <w:rPr>
          <w:rFonts w:hint="eastAsia" w:ascii="方正仿宋_GBK" w:hAnsi="宋体" w:eastAsia="方正仿宋_GBK"/>
          <w:bCs/>
          <w:sz w:val="24"/>
        </w:rPr>
        <w:t>（四）合同价格指以成交价格为依据，在供方全面履行合同义务后，需方（或财政部门）应支付给供方的金额。</w:t>
      </w:r>
      <w:bookmarkEnd w:id="109"/>
    </w:p>
    <w:p>
      <w:pPr>
        <w:snapToGrid w:val="0"/>
        <w:spacing w:line="380" w:lineRule="exact"/>
        <w:ind w:firstLine="360" w:firstLineChars="150"/>
        <w:outlineLvl w:val="0"/>
        <w:rPr>
          <w:rFonts w:ascii="方正仿宋_GBK" w:hAnsi="宋体" w:eastAsia="方正仿宋_GBK"/>
          <w:bCs/>
          <w:sz w:val="24"/>
        </w:rPr>
      </w:pPr>
      <w:bookmarkStart w:id="110" w:name="_Toc10406"/>
      <w:r>
        <w:rPr>
          <w:rFonts w:hint="eastAsia" w:ascii="方正仿宋_GBK" w:hAnsi="宋体" w:eastAsia="方正仿宋_GBK"/>
          <w:bCs/>
          <w:sz w:val="24"/>
        </w:rPr>
        <w:t>（五）技术资料是指合同货物及其相关的设计、制造、监造、检验、验收等文件（包括图纸、各种文字说明、标准）。</w:t>
      </w:r>
      <w:bookmarkEnd w:id="110"/>
    </w:p>
    <w:p>
      <w:pPr>
        <w:snapToGrid w:val="0"/>
        <w:spacing w:line="380" w:lineRule="exact"/>
        <w:ind w:firstLine="360" w:firstLineChars="150"/>
        <w:outlineLvl w:val="0"/>
        <w:rPr>
          <w:rFonts w:ascii="方正仿宋_GBK" w:hAnsi="宋体" w:eastAsia="方正仿宋_GBK"/>
          <w:bCs/>
          <w:sz w:val="24"/>
        </w:rPr>
      </w:pPr>
      <w:bookmarkStart w:id="111" w:name="_Toc20875_WPSOffice_Level2"/>
      <w:bookmarkStart w:id="112" w:name="_Toc16932"/>
      <w:bookmarkStart w:id="113" w:name="_Toc21706"/>
      <w:r>
        <w:rPr>
          <w:rFonts w:hint="eastAsia" w:ascii="方正仿宋_GBK" w:hAnsi="宋体" w:eastAsia="方正仿宋_GBK"/>
          <w:bCs/>
          <w:sz w:val="24"/>
        </w:rPr>
        <w:t>二、货物内容</w:t>
      </w:r>
      <w:bookmarkEnd w:id="111"/>
      <w:bookmarkEnd w:id="112"/>
      <w:bookmarkEnd w:id="113"/>
    </w:p>
    <w:p>
      <w:pPr>
        <w:snapToGrid w:val="0"/>
        <w:spacing w:line="380" w:lineRule="exact"/>
        <w:ind w:firstLine="360" w:firstLineChars="150"/>
        <w:outlineLvl w:val="0"/>
        <w:rPr>
          <w:rFonts w:ascii="方正仿宋_GBK" w:hAnsi="宋体" w:eastAsia="方正仿宋_GBK"/>
          <w:bCs/>
          <w:sz w:val="24"/>
        </w:rPr>
      </w:pPr>
      <w:bookmarkStart w:id="114" w:name="_Toc15924"/>
      <w:r>
        <w:rPr>
          <w:rFonts w:hint="eastAsia" w:ascii="方正仿宋_GBK" w:hAnsi="宋体" w:eastAsia="方正仿宋_GBK"/>
          <w:bCs/>
          <w:sz w:val="24"/>
        </w:rPr>
        <w:t>合同包括以下内容：货物名称、型号规格、技术参数、数量（单位）等内容。</w:t>
      </w:r>
      <w:bookmarkEnd w:id="114"/>
    </w:p>
    <w:p>
      <w:pPr>
        <w:snapToGrid w:val="0"/>
        <w:spacing w:line="380" w:lineRule="exact"/>
        <w:ind w:firstLine="360" w:firstLineChars="150"/>
        <w:outlineLvl w:val="0"/>
        <w:rPr>
          <w:rFonts w:ascii="方正仿宋_GBK" w:hAnsi="宋体" w:eastAsia="方正仿宋_GBK"/>
          <w:bCs/>
          <w:sz w:val="24"/>
        </w:rPr>
      </w:pPr>
      <w:bookmarkStart w:id="115" w:name="_Toc10873_WPSOffice_Level2"/>
      <w:bookmarkStart w:id="116" w:name="_Toc12669"/>
      <w:bookmarkStart w:id="117" w:name="_Toc31651"/>
      <w:r>
        <w:rPr>
          <w:rFonts w:hint="eastAsia" w:ascii="方正仿宋_GBK" w:hAnsi="宋体" w:eastAsia="方正仿宋_GBK"/>
          <w:bCs/>
          <w:sz w:val="24"/>
        </w:rPr>
        <w:t>三、合同价格</w:t>
      </w:r>
      <w:bookmarkEnd w:id="115"/>
      <w:bookmarkEnd w:id="116"/>
      <w:bookmarkEnd w:id="117"/>
    </w:p>
    <w:p>
      <w:pPr>
        <w:snapToGrid w:val="0"/>
        <w:spacing w:line="380" w:lineRule="exact"/>
        <w:ind w:firstLine="360" w:firstLineChars="150"/>
        <w:outlineLvl w:val="0"/>
        <w:rPr>
          <w:rFonts w:ascii="方正仿宋_GBK" w:hAnsi="宋体" w:eastAsia="方正仿宋_GBK"/>
          <w:bCs/>
          <w:sz w:val="24"/>
        </w:rPr>
      </w:pPr>
      <w:bookmarkStart w:id="118" w:name="_Toc19653"/>
      <w:r>
        <w:rPr>
          <w:rFonts w:hint="eastAsia" w:ascii="方正仿宋_GBK" w:hAnsi="宋体" w:eastAsia="方正仿宋_GBK"/>
          <w:bCs/>
          <w:sz w:val="24"/>
        </w:rPr>
        <w:t>（一）合同价格即合同总价。</w:t>
      </w:r>
      <w:bookmarkEnd w:id="118"/>
    </w:p>
    <w:p>
      <w:pPr>
        <w:snapToGrid w:val="0"/>
        <w:spacing w:line="380" w:lineRule="exact"/>
        <w:ind w:firstLine="360" w:firstLineChars="150"/>
        <w:outlineLvl w:val="0"/>
        <w:rPr>
          <w:rFonts w:ascii="方正仿宋_GBK" w:hAnsi="宋体" w:eastAsia="方正仿宋_GBK"/>
          <w:bCs/>
          <w:sz w:val="24"/>
        </w:rPr>
      </w:pPr>
      <w:bookmarkStart w:id="119" w:name="_Toc6591"/>
      <w:r>
        <w:rPr>
          <w:rFonts w:hint="eastAsia" w:ascii="方正仿宋_GBK" w:hAnsi="宋体" w:eastAsia="方正仿宋_GBK"/>
          <w:bCs/>
          <w:sz w:val="24"/>
        </w:rPr>
        <w:t>（二）合同价格包括合同货物、技术资料、合同货物的税费、运杂费、保险费、包装费、装卸费及与货物有关的供方应纳的税费，所有税费由乙方负担。</w:t>
      </w:r>
      <w:bookmarkEnd w:id="119"/>
    </w:p>
    <w:p>
      <w:pPr>
        <w:snapToGrid w:val="0"/>
        <w:spacing w:line="380" w:lineRule="exact"/>
        <w:ind w:firstLine="360" w:firstLineChars="150"/>
        <w:outlineLvl w:val="0"/>
        <w:rPr>
          <w:rFonts w:ascii="方正仿宋_GBK" w:hAnsi="宋体" w:eastAsia="方正仿宋_GBK"/>
          <w:bCs/>
          <w:sz w:val="24"/>
        </w:rPr>
      </w:pPr>
      <w:bookmarkStart w:id="120" w:name="_Toc7070"/>
      <w:r>
        <w:rPr>
          <w:rFonts w:hint="eastAsia" w:ascii="方正仿宋_GBK" w:hAnsi="宋体" w:eastAsia="方正仿宋_GBK"/>
          <w:bCs/>
          <w:sz w:val="24"/>
        </w:rPr>
        <w:t>（三）合同货物单价为不变价。</w:t>
      </w:r>
      <w:bookmarkEnd w:id="120"/>
    </w:p>
    <w:p>
      <w:pPr>
        <w:snapToGrid w:val="0"/>
        <w:spacing w:line="380" w:lineRule="exact"/>
        <w:ind w:firstLine="360" w:firstLineChars="150"/>
        <w:outlineLvl w:val="0"/>
        <w:rPr>
          <w:rFonts w:ascii="方正仿宋_GBK" w:hAnsi="宋体" w:eastAsia="方正仿宋_GBK"/>
          <w:bCs/>
          <w:sz w:val="24"/>
        </w:rPr>
      </w:pPr>
      <w:bookmarkStart w:id="121" w:name="_Toc30785_WPSOffice_Level2"/>
      <w:bookmarkStart w:id="122" w:name="_Toc7632"/>
      <w:bookmarkStart w:id="123" w:name="_Toc13042"/>
      <w:r>
        <w:rPr>
          <w:rFonts w:hint="eastAsia" w:ascii="方正仿宋_GBK" w:hAnsi="宋体" w:eastAsia="方正仿宋_GBK"/>
          <w:bCs/>
          <w:sz w:val="24"/>
        </w:rPr>
        <w:t>四、转包或分包</w:t>
      </w:r>
      <w:bookmarkEnd w:id="121"/>
      <w:bookmarkEnd w:id="122"/>
      <w:bookmarkEnd w:id="123"/>
    </w:p>
    <w:p>
      <w:pPr>
        <w:snapToGrid w:val="0"/>
        <w:spacing w:line="380" w:lineRule="exact"/>
        <w:ind w:firstLine="360" w:firstLineChars="150"/>
        <w:outlineLvl w:val="0"/>
        <w:rPr>
          <w:rFonts w:ascii="方正仿宋_GBK" w:hAnsi="宋体" w:eastAsia="方正仿宋_GBK"/>
          <w:bCs/>
          <w:sz w:val="24"/>
        </w:rPr>
      </w:pPr>
      <w:bookmarkStart w:id="124" w:name="_Toc31034"/>
      <w:r>
        <w:rPr>
          <w:rFonts w:hint="eastAsia" w:ascii="方正仿宋_GBK" w:hAnsi="宋体" w:eastAsia="方正仿宋_GBK"/>
          <w:bCs/>
          <w:sz w:val="24"/>
        </w:rPr>
        <w:t>（一）本合同范围的货物，应由乙方直接供应，不得转让他人供应；</w:t>
      </w:r>
      <w:bookmarkEnd w:id="124"/>
    </w:p>
    <w:p>
      <w:pPr>
        <w:snapToGrid w:val="0"/>
        <w:spacing w:line="380" w:lineRule="exact"/>
        <w:ind w:firstLine="360" w:firstLineChars="150"/>
        <w:outlineLvl w:val="0"/>
        <w:rPr>
          <w:rFonts w:ascii="方正仿宋_GBK" w:hAnsi="宋体" w:eastAsia="方正仿宋_GBK"/>
          <w:bCs/>
          <w:sz w:val="24"/>
        </w:rPr>
      </w:pPr>
      <w:bookmarkStart w:id="125" w:name="_Toc5288"/>
      <w:r>
        <w:rPr>
          <w:rFonts w:hint="eastAsia" w:ascii="方正仿宋_GBK" w:hAnsi="宋体" w:eastAsia="方正仿宋_GBK"/>
          <w:bCs/>
          <w:sz w:val="24"/>
        </w:rPr>
        <w:t>（二）非经甲方书面同意，乙方不得将本合同范围的货物全部或部分分包给他人供应；</w:t>
      </w:r>
      <w:bookmarkEnd w:id="125"/>
    </w:p>
    <w:p>
      <w:pPr>
        <w:snapToGrid w:val="0"/>
        <w:spacing w:line="380" w:lineRule="exact"/>
        <w:ind w:firstLine="360" w:firstLineChars="150"/>
        <w:outlineLvl w:val="0"/>
        <w:rPr>
          <w:rFonts w:ascii="方正仿宋_GBK" w:hAnsi="宋体" w:eastAsia="方正仿宋_GBK"/>
          <w:bCs/>
          <w:sz w:val="24"/>
        </w:rPr>
      </w:pPr>
      <w:bookmarkStart w:id="126" w:name="_Toc32329"/>
      <w:r>
        <w:rPr>
          <w:rFonts w:hint="eastAsia" w:ascii="方正仿宋_GBK" w:hAnsi="宋体" w:eastAsia="方正仿宋_GBK"/>
          <w:bCs/>
          <w:sz w:val="24"/>
        </w:rPr>
        <w:t>（三）如有转让和未经甲方同意的分包行为，甲方有权解除合同，没收履约保证金并追究乙方的违约责任。</w:t>
      </w:r>
      <w:bookmarkEnd w:id="126"/>
    </w:p>
    <w:p>
      <w:pPr>
        <w:snapToGrid w:val="0"/>
        <w:spacing w:line="380" w:lineRule="exact"/>
        <w:ind w:firstLine="360" w:firstLineChars="150"/>
        <w:outlineLvl w:val="0"/>
        <w:rPr>
          <w:rFonts w:ascii="方正仿宋_GBK" w:hAnsi="宋体" w:eastAsia="方正仿宋_GBK"/>
          <w:bCs/>
          <w:sz w:val="24"/>
        </w:rPr>
      </w:pPr>
      <w:bookmarkStart w:id="127" w:name="_Toc27079"/>
      <w:bookmarkStart w:id="128" w:name="_Toc22435_WPSOffice_Level2"/>
      <w:bookmarkStart w:id="129" w:name="_Toc32472"/>
      <w:r>
        <w:rPr>
          <w:rFonts w:hint="eastAsia" w:ascii="方正仿宋_GBK" w:hAnsi="宋体" w:eastAsia="方正仿宋_GBK"/>
          <w:bCs/>
          <w:sz w:val="24"/>
        </w:rPr>
        <w:t>五、质量保证及售后服务</w:t>
      </w:r>
      <w:bookmarkEnd w:id="127"/>
      <w:bookmarkEnd w:id="128"/>
      <w:bookmarkEnd w:id="129"/>
    </w:p>
    <w:p>
      <w:pPr>
        <w:snapToGrid w:val="0"/>
        <w:spacing w:line="380" w:lineRule="exact"/>
        <w:ind w:firstLine="360" w:firstLineChars="150"/>
        <w:outlineLvl w:val="0"/>
        <w:rPr>
          <w:rFonts w:ascii="方正仿宋_GBK" w:hAnsi="宋体" w:eastAsia="方正仿宋_GBK"/>
          <w:bCs/>
          <w:sz w:val="24"/>
        </w:rPr>
      </w:pPr>
      <w:bookmarkStart w:id="130" w:name="_Toc12618"/>
      <w:r>
        <w:rPr>
          <w:rFonts w:hint="eastAsia" w:ascii="方正仿宋_GBK" w:hAnsi="宋体" w:eastAsia="方正仿宋_GBK"/>
          <w:bCs/>
          <w:sz w:val="24"/>
        </w:rPr>
        <w:t>（一）乙方应按竞争性谈判文件规定的货物性能、技术要求、质量标准向甲方提供未经使用的全新产品。</w:t>
      </w:r>
      <w:bookmarkEnd w:id="130"/>
    </w:p>
    <w:p>
      <w:pPr>
        <w:snapToGrid w:val="0"/>
        <w:spacing w:line="380" w:lineRule="exact"/>
        <w:ind w:firstLine="360" w:firstLineChars="150"/>
        <w:outlineLvl w:val="0"/>
        <w:rPr>
          <w:rFonts w:ascii="方正仿宋_GBK" w:hAnsi="宋体" w:eastAsia="方正仿宋_GBK"/>
          <w:bCs/>
          <w:sz w:val="24"/>
        </w:rPr>
      </w:pPr>
      <w:bookmarkStart w:id="131" w:name="_Toc30790"/>
      <w:r>
        <w:rPr>
          <w:rFonts w:hint="eastAsia" w:ascii="方正仿宋_GBK" w:hAnsi="宋体" w:eastAsia="方正仿宋_GBK"/>
          <w:bCs/>
          <w:sz w:val="24"/>
        </w:rPr>
        <w:t>（二）乙方提供的货物在质保期内因货物本身的质量问题发生故障，乙方应负责免费更换。对达不到技术要求者，根据实际情况，经双方协商，可按以下办法处理：</w:t>
      </w:r>
      <w:bookmarkEnd w:id="131"/>
    </w:p>
    <w:p>
      <w:pPr>
        <w:snapToGrid w:val="0"/>
        <w:spacing w:line="380" w:lineRule="exact"/>
        <w:ind w:firstLine="480" w:firstLineChars="200"/>
        <w:outlineLvl w:val="0"/>
        <w:rPr>
          <w:rFonts w:ascii="方正仿宋_GBK" w:hAnsi="宋体" w:eastAsia="方正仿宋_GBK"/>
          <w:bCs/>
          <w:sz w:val="24"/>
        </w:rPr>
      </w:pPr>
      <w:bookmarkStart w:id="132" w:name="_Toc22602"/>
      <w:r>
        <w:rPr>
          <w:rFonts w:hint="eastAsia" w:ascii="方正仿宋_GBK" w:hAnsi="宋体" w:eastAsia="方正仿宋_GBK"/>
          <w:bCs/>
          <w:sz w:val="24"/>
        </w:rPr>
        <w:t>1.更换：由乙方承担所发生的全部费用。</w:t>
      </w:r>
      <w:bookmarkEnd w:id="132"/>
    </w:p>
    <w:p>
      <w:pPr>
        <w:snapToGrid w:val="0"/>
        <w:spacing w:line="380" w:lineRule="exact"/>
        <w:ind w:firstLine="480" w:firstLineChars="200"/>
        <w:outlineLvl w:val="0"/>
        <w:rPr>
          <w:rFonts w:ascii="方正仿宋_GBK" w:hAnsi="宋体" w:eastAsia="方正仿宋_GBK"/>
          <w:bCs/>
          <w:sz w:val="24"/>
        </w:rPr>
      </w:pPr>
      <w:bookmarkStart w:id="133" w:name="_Toc27018"/>
      <w:r>
        <w:rPr>
          <w:rFonts w:hint="eastAsia" w:ascii="方正仿宋_GBK" w:hAnsi="宋体" w:eastAsia="方正仿宋_GBK"/>
          <w:bCs/>
          <w:sz w:val="24"/>
        </w:rPr>
        <w:t>2.贬值处理：由甲乙双方合议定价。</w:t>
      </w:r>
      <w:bookmarkEnd w:id="133"/>
    </w:p>
    <w:p>
      <w:pPr>
        <w:snapToGrid w:val="0"/>
        <w:spacing w:line="380" w:lineRule="exact"/>
        <w:ind w:firstLine="480" w:firstLineChars="200"/>
        <w:outlineLvl w:val="0"/>
        <w:rPr>
          <w:rFonts w:ascii="方正仿宋_GBK" w:hAnsi="宋体" w:eastAsia="方正仿宋_GBK"/>
          <w:bCs/>
          <w:sz w:val="24"/>
        </w:rPr>
      </w:pPr>
      <w:bookmarkStart w:id="134" w:name="_Toc29010"/>
      <w:r>
        <w:rPr>
          <w:rFonts w:hint="eastAsia" w:ascii="方正仿宋_GBK" w:hAnsi="宋体" w:eastAsia="方正仿宋_GBK"/>
          <w:bCs/>
          <w:sz w:val="24"/>
        </w:rPr>
        <w:t>3.退货处理：乙方应退还甲方支付的合同款，同时应承担该货物的直接费用（运输、保险、检验、货款利息及银行手续费等）。</w:t>
      </w:r>
      <w:bookmarkEnd w:id="134"/>
    </w:p>
    <w:p>
      <w:pPr>
        <w:snapToGrid w:val="0"/>
        <w:spacing w:line="380" w:lineRule="exact"/>
        <w:ind w:firstLine="360" w:firstLineChars="150"/>
        <w:outlineLvl w:val="0"/>
        <w:rPr>
          <w:rFonts w:ascii="方正仿宋_GBK" w:hAnsi="宋体" w:eastAsia="方正仿宋_GBK"/>
          <w:bCs/>
          <w:sz w:val="24"/>
        </w:rPr>
      </w:pPr>
      <w:bookmarkStart w:id="135" w:name="_Toc30991"/>
      <w:r>
        <w:rPr>
          <w:rFonts w:hint="eastAsia" w:ascii="方正仿宋_GBK" w:hAnsi="宋体" w:eastAsia="方正仿宋_GBK"/>
          <w:bCs/>
          <w:sz w:val="24"/>
        </w:rPr>
        <w:t>（三）如在使用过程中发生质量问题，乙方应同本项目“第四篇 谈判项目服务需求”对质量保证及售后服务内容的约定。</w:t>
      </w:r>
      <w:bookmarkEnd w:id="135"/>
    </w:p>
    <w:p>
      <w:pPr>
        <w:snapToGrid w:val="0"/>
        <w:spacing w:line="380" w:lineRule="exact"/>
        <w:ind w:firstLine="360" w:firstLineChars="150"/>
        <w:outlineLvl w:val="0"/>
        <w:rPr>
          <w:rFonts w:ascii="方正仿宋_GBK" w:hAnsi="宋体" w:eastAsia="方正仿宋_GBK"/>
          <w:bCs/>
          <w:sz w:val="24"/>
        </w:rPr>
      </w:pPr>
      <w:bookmarkStart w:id="136" w:name="_Toc20359"/>
      <w:r>
        <w:rPr>
          <w:rFonts w:hint="eastAsia" w:ascii="方正仿宋_GBK" w:hAnsi="宋体" w:eastAsia="方正仿宋_GBK"/>
          <w:bCs/>
          <w:sz w:val="24"/>
        </w:rPr>
        <w:t>（四）在质保期内，乙方应对货物出现的质量及安全问题负责处理解决并承担一切费用。</w:t>
      </w:r>
      <w:bookmarkEnd w:id="136"/>
    </w:p>
    <w:p>
      <w:pPr>
        <w:snapToGrid w:val="0"/>
        <w:spacing w:line="380" w:lineRule="exact"/>
        <w:ind w:firstLine="360" w:firstLineChars="150"/>
        <w:outlineLvl w:val="0"/>
        <w:rPr>
          <w:rFonts w:ascii="方正仿宋_GBK" w:hAnsi="宋体" w:eastAsia="方正仿宋_GBK"/>
          <w:bCs/>
          <w:sz w:val="24"/>
        </w:rPr>
      </w:pPr>
      <w:bookmarkStart w:id="137" w:name="_Toc22171"/>
      <w:bookmarkStart w:id="138" w:name="_Toc25156"/>
      <w:bookmarkStart w:id="139" w:name="_Toc10238_WPSOffice_Level2"/>
      <w:r>
        <w:rPr>
          <w:rFonts w:hint="eastAsia" w:ascii="方正仿宋_GBK" w:hAnsi="宋体" w:eastAsia="方正仿宋_GBK"/>
          <w:bCs/>
          <w:sz w:val="24"/>
        </w:rPr>
        <w:t>六、付款</w:t>
      </w:r>
      <w:bookmarkEnd w:id="137"/>
      <w:bookmarkEnd w:id="138"/>
      <w:bookmarkEnd w:id="139"/>
    </w:p>
    <w:p>
      <w:pPr>
        <w:snapToGrid w:val="0"/>
        <w:spacing w:line="380" w:lineRule="exact"/>
        <w:ind w:firstLine="360" w:firstLineChars="150"/>
        <w:outlineLvl w:val="0"/>
        <w:rPr>
          <w:rFonts w:ascii="方正仿宋_GBK" w:hAnsi="宋体" w:eastAsia="方正仿宋_GBK"/>
          <w:bCs/>
          <w:sz w:val="24"/>
        </w:rPr>
      </w:pPr>
      <w:bookmarkStart w:id="140" w:name="_Toc2571"/>
      <w:r>
        <w:rPr>
          <w:rFonts w:hint="eastAsia" w:ascii="方正仿宋_GBK" w:hAnsi="宋体" w:eastAsia="方正仿宋_GBK"/>
          <w:bCs/>
          <w:sz w:val="24"/>
        </w:rPr>
        <w:t>（一）本合同使用货币币制如未作特别说明均为人民币。</w:t>
      </w:r>
      <w:bookmarkEnd w:id="140"/>
    </w:p>
    <w:p>
      <w:pPr>
        <w:snapToGrid w:val="0"/>
        <w:spacing w:line="380" w:lineRule="exact"/>
        <w:ind w:firstLine="360" w:firstLineChars="150"/>
        <w:outlineLvl w:val="0"/>
        <w:rPr>
          <w:rFonts w:ascii="方正仿宋_GBK" w:hAnsi="宋体" w:eastAsia="方正仿宋_GBK"/>
          <w:bCs/>
          <w:sz w:val="24"/>
        </w:rPr>
      </w:pPr>
      <w:bookmarkStart w:id="141" w:name="_Toc19308"/>
      <w:r>
        <w:rPr>
          <w:rFonts w:hint="eastAsia" w:ascii="方正仿宋_GBK" w:hAnsi="宋体" w:eastAsia="方正仿宋_GBK"/>
          <w:bCs/>
          <w:sz w:val="24"/>
        </w:rPr>
        <w:t>（二）付款方式：银行转账、现金支票。</w:t>
      </w:r>
      <w:bookmarkEnd w:id="141"/>
    </w:p>
    <w:p>
      <w:pPr>
        <w:snapToGrid w:val="0"/>
        <w:spacing w:line="380" w:lineRule="exact"/>
        <w:ind w:firstLine="360" w:firstLineChars="150"/>
        <w:outlineLvl w:val="0"/>
        <w:rPr>
          <w:rFonts w:ascii="方正仿宋_GBK" w:hAnsi="宋体" w:eastAsia="方正仿宋_GBK"/>
          <w:bCs/>
          <w:sz w:val="24"/>
        </w:rPr>
      </w:pPr>
      <w:bookmarkStart w:id="142" w:name="_Toc4892"/>
      <w:r>
        <w:rPr>
          <w:rFonts w:hint="eastAsia" w:ascii="方正仿宋_GBK" w:hAnsi="宋体" w:eastAsia="方正仿宋_GBK"/>
          <w:bCs/>
          <w:sz w:val="24"/>
        </w:rPr>
        <w:t>（三）付款方法：同本项目“第三篇 谈判项目服务需求”中关于付款方式的约定。</w:t>
      </w:r>
      <w:bookmarkEnd w:id="142"/>
    </w:p>
    <w:p>
      <w:pPr>
        <w:snapToGrid w:val="0"/>
        <w:spacing w:line="380" w:lineRule="exact"/>
        <w:ind w:firstLine="360" w:firstLineChars="150"/>
        <w:outlineLvl w:val="0"/>
        <w:rPr>
          <w:rFonts w:ascii="方正仿宋_GBK" w:hAnsi="宋体" w:eastAsia="方正仿宋_GBK"/>
          <w:bCs/>
          <w:sz w:val="24"/>
        </w:rPr>
      </w:pPr>
      <w:bookmarkStart w:id="143" w:name="_Toc14021"/>
      <w:bookmarkStart w:id="144" w:name="_Toc20826_WPSOffice_Level2"/>
      <w:bookmarkStart w:id="145" w:name="_Toc21331"/>
      <w:r>
        <w:rPr>
          <w:rFonts w:hint="eastAsia" w:ascii="方正仿宋_GBK" w:hAnsi="宋体" w:eastAsia="方正仿宋_GBK"/>
          <w:bCs/>
          <w:sz w:val="24"/>
        </w:rPr>
        <w:t>七、检查验收</w:t>
      </w:r>
      <w:bookmarkEnd w:id="143"/>
      <w:bookmarkEnd w:id="144"/>
      <w:bookmarkEnd w:id="145"/>
    </w:p>
    <w:p>
      <w:pPr>
        <w:snapToGrid w:val="0"/>
        <w:spacing w:line="380" w:lineRule="exact"/>
        <w:ind w:firstLine="360" w:firstLineChars="150"/>
        <w:outlineLvl w:val="0"/>
        <w:rPr>
          <w:rFonts w:ascii="方正仿宋_GBK" w:hAnsi="宋体" w:eastAsia="方正仿宋_GBK"/>
          <w:bCs/>
          <w:sz w:val="24"/>
        </w:rPr>
      </w:pPr>
      <w:bookmarkStart w:id="146" w:name="_Toc16652"/>
      <w:r>
        <w:rPr>
          <w:rFonts w:hint="eastAsia" w:ascii="方正仿宋_GBK" w:hAnsi="宋体" w:eastAsia="方正仿宋_GBK"/>
          <w:bCs/>
          <w:sz w:val="24"/>
        </w:rPr>
        <w:t>（一）供方应随货物提供合格证和质量证明文件，如是国外进口的货物还须提供入关证明。</w:t>
      </w:r>
      <w:bookmarkEnd w:id="146"/>
    </w:p>
    <w:p>
      <w:pPr>
        <w:snapToGrid w:val="0"/>
        <w:spacing w:line="380" w:lineRule="exact"/>
        <w:ind w:firstLine="360" w:firstLineChars="150"/>
        <w:outlineLvl w:val="0"/>
        <w:rPr>
          <w:rFonts w:ascii="方正仿宋_GBK" w:hAnsi="宋体" w:eastAsia="方正仿宋_GBK"/>
          <w:bCs/>
          <w:sz w:val="24"/>
        </w:rPr>
      </w:pPr>
      <w:bookmarkStart w:id="147" w:name="_Toc21028"/>
      <w:r>
        <w:rPr>
          <w:rFonts w:hint="eastAsia" w:ascii="方正仿宋_GBK" w:hAnsi="宋体" w:eastAsia="方正仿宋_GBK"/>
          <w:bCs/>
          <w:sz w:val="24"/>
        </w:rPr>
        <w:t>（二）货物验收</w:t>
      </w:r>
      <w:bookmarkEnd w:id="147"/>
    </w:p>
    <w:p>
      <w:pPr>
        <w:adjustRightInd w:val="0"/>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pPr>
        <w:snapToGrid w:val="0"/>
        <w:spacing w:line="380" w:lineRule="exact"/>
        <w:ind w:firstLine="360" w:firstLineChars="150"/>
        <w:outlineLvl w:val="0"/>
        <w:rPr>
          <w:rFonts w:ascii="方正仿宋_GBK" w:hAnsi="宋体" w:eastAsia="方正仿宋_GBK"/>
          <w:bCs/>
          <w:sz w:val="24"/>
        </w:rPr>
      </w:pPr>
      <w:bookmarkStart w:id="148" w:name="_Toc8190"/>
      <w:r>
        <w:rPr>
          <w:rFonts w:hint="eastAsia" w:ascii="方正仿宋_GBK" w:hAnsi="宋体" w:eastAsia="方正仿宋_GBK"/>
          <w:bCs/>
          <w:sz w:val="24"/>
        </w:rPr>
        <w:t>（三）货物验收报告应由需方、供方经办人签字，并加盖双方公章，以此作为支付凭据。</w:t>
      </w:r>
      <w:bookmarkEnd w:id="148"/>
    </w:p>
    <w:p>
      <w:pPr>
        <w:snapToGrid w:val="0"/>
        <w:spacing w:line="380" w:lineRule="exact"/>
        <w:ind w:firstLine="360" w:firstLineChars="150"/>
        <w:outlineLvl w:val="0"/>
        <w:rPr>
          <w:rFonts w:ascii="方正仿宋_GBK" w:hAnsi="宋体" w:eastAsia="方正仿宋_GBK"/>
          <w:bCs/>
          <w:sz w:val="24"/>
        </w:rPr>
      </w:pPr>
      <w:bookmarkStart w:id="149" w:name="_Toc28161"/>
      <w:bookmarkStart w:id="150" w:name="_Toc16444"/>
      <w:bookmarkStart w:id="151" w:name="_Toc5165_WPSOffice_Level2"/>
      <w:r>
        <w:rPr>
          <w:rFonts w:hint="eastAsia" w:ascii="方正仿宋_GBK" w:hAnsi="宋体" w:eastAsia="方正仿宋_GBK"/>
          <w:bCs/>
          <w:sz w:val="24"/>
        </w:rPr>
        <w:t>八、索赔</w:t>
      </w:r>
      <w:bookmarkEnd w:id="149"/>
      <w:bookmarkEnd w:id="150"/>
      <w:bookmarkEnd w:id="151"/>
    </w:p>
    <w:p>
      <w:pPr>
        <w:snapToGrid w:val="0"/>
        <w:spacing w:line="380" w:lineRule="exact"/>
        <w:ind w:firstLine="360" w:firstLineChars="150"/>
        <w:outlineLvl w:val="0"/>
        <w:rPr>
          <w:rFonts w:ascii="方正仿宋_GBK" w:hAnsi="宋体" w:eastAsia="方正仿宋_GBK"/>
          <w:bCs/>
          <w:sz w:val="24"/>
        </w:rPr>
      </w:pPr>
      <w:bookmarkStart w:id="152" w:name="_Toc23185"/>
      <w:r>
        <w:rPr>
          <w:rFonts w:hint="eastAsia" w:ascii="方正仿宋_GBK" w:hAnsi="宋体" w:eastAsia="方正仿宋_GBK"/>
          <w:bCs/>
          <w:sz w:val="24"/>
        </w:rPr>
        <w:t>供方对货物与合同要求不符负有责任，并且需方已于规定交货内和质量保证期内提出索赔，供方应按需方同意的下述一种或多种方法解决索赔事宜。</w:t>
      </w:r>
      <w:bookmarkEnd w:id="152"/>
    </w:p>
    <w:p>
      <w:pPr>
        <w:snapToGrid w:val="0"/>
        <w:spacing w:line="380" w:lineRule="exact"/>
        <w:ind w:firstLine="360" w:firstLineChars="150"/>
        <w:outlineLvl w:val="0"/>
        <w:rPr>
          <w:rFonts w:ascii="方正仿宋_GBK" w:hAnsi="宋体" w:eastAsia="方正仿宋_GBK"/>
          <w:bCs/>
          <w:sz w:val="24"/>
        </w:rPr>
      </w:pPr>
      <w:bookmarkStart w:id="153" w:name="_Toc4376"/>
      <w:r>
        <w:rPr>
          <w:rFonts w:hint="eastAsia" w:ascii="方正仿宋_GBK" w:hAnsi="宋体" w:eastAsia="方正仿宋_GBK"/>
          <w:bCs/>
          <w:sz w:val="24"/>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bookmarkEnd w:id="153"/>
    </w:p>
    <w:p>
      <w:pPr>
        <w:snapToGrid w:val="0"/>
        <w:spacing w:line="380" w:lineRule="exact"/>
        <w:ind w:firstLine="360" w:firstLineChars="150"/>
        <w:outlineLvl w:val="0"/>
        <w:rPr>
          <w:rFonts w:ascii="方正仿宋_GBK" w:hAnsi="宋体" w:eastAsia="方正仿宋_GBK"/>
          <w:bCs/>
          <w:sz w:val="24"/>
        </w:rPr>
      </w:pPr>
      <w:bookmarkStart w:id="154" w:name="_Toc14558"/>
      <w:r>
        <w:rPr>
          <w:rFonts w:hint="eastAsia" w:ascii="方正仿宋_GBK" w:hAnsi="宋体" w:eastAsia="方正仿宋_GBK"/>
          <w:bCs/>
          <w:sz w:val="24"/>
        </w:rPr>
        <w:t>（二）根据货物的疵劣和受损程度以及需方遭受损失的金额，经双方同意降低货物价格。</w:t>
      </w:r>
      <w:bookmarkEnd w:id="154"/>
    </w:p>
    <w:p>
      <w:pPr>
        <w:snapToGrid w:val="0"/>
        <w:spacing w:line="380" w:lineRule="exact"/>
        <w:ind w:firstLine="360" w:firstLineChars="150"/>
        <w:outlineLvl w:val="0"/>
        <w:rPr>
          <w:rFonts w:ascii="方正仿宋_GBK" w:hAnsi="宋体" w:eastAsia="方正仿宋_GBK"/>
          <w:bCs/>
          <w:sz w:val="24"/>
        </w:rPr>
      </w:pPr>
      <w:bookmarkStart w:id="155" w:name="_Toc9329_WPSOffice_Level2"/>
      <w:bookmarkStart w:id="156" w:name="_Toc7209"/>
      <w:bookmarkStart w:id="157" w:name="_Toc2980"/>
      <w:r>
        <w:rPr>
          <w:rFonts w:hint="eastAsia" w:ascii="方正仿宋_GBK" w:hAnsi="宋体" w:eastAsia="方正仿宋_GBK"/>
          <w:bCs/>
          <w:sz w:val="24"/>
        </w:rPr>
        <w:t>九、知识产权</w:t>
      </w:r>
      <w:bookmarkEnd w:id="155"/>
      <w:bookmarkEnd w:id="156"/>
      <w:bookmarkEnd w:id="157"/>
    </w:p>
    <w:p>
      <w:pPr>
        <w:snapToGrid w:val="0"/>
        <w:spacing w:line="380" w:lineRule="exact"/>
        <w:ind w:firstLine="360" w:firstLineChars="150"/>
        <w:outlineLvl w:val="0"/>
        <w:rPr>
          <w:rFonts w:ascii="方正仿宋_GBK" w:hAnsi="宋体" w:eastAsia="方正仿宋_GBK"/>
          <w:bCs/>
          <w:sz w:val="24"/>
        </w:rPr>
      </w:pPr>
      <w:bookmarkStart w:id="158" w:name="_Toc28794"/>
      <w:r>
        <w:rPr>
          <w:rFonts w:hint="eastAsia" w:ascii="方正仿宋_GBK" w:hAnsi="宋体" w:eastAsia="方正仿宋_GBK"/>
          <w:bCs/>
          <w:sz w:val="24"/>
        </w:rPr>
        <w:t>（一）甲方在中华人民共和国境内使用乙方提供的货物及服务时免受第三方提出的侵犯其专利权或其它知识产权的起诉。如果第三方提出侵权指控，乙方承担由此而引起的一切法律责任和费用。</w:t>
      </w:r>
      <w:bookmarkEnd w:id="158"/>
    </w:p>
    <w:p>
      <w:pPr>
        <w:snapToGrid w:val="0"/>
        <w:spacing w:line="380" w:lineRule="exact"/>
        <w:ind w:firstLine="360" w:firstLineChars="150"/>
        <w:outlineLvl w:val="0"/>
        <w:rPr>
          <w:rFonts w:ascii="方正仿宋_GBK" w:hAnsi="宋体" w:eastAsia="方正仿宋_GBK"/>
          <w:bCs/>
          <w:sz w:val="24"/>
        </w:rPr>
      </w:pPr>
      <w:bookmarkStart w:id="159" w:name="_Toc14386"/>
      <w:r>
        <w:rPr>
          <w:rFonts w:hint="eastAsia" w:ascii="方正仿宋_GBK" w:hAnsi="宋体" w:eastAsia="方正仿宋_GBK"/>
          <w:bCs/>
          <w:sz w:val="24"/>
        </w:rPr>
        <w:t>（二）若涉及软件开发等服务类项目知识产权的，知识产权归采购人所有。</w:t>
      </w:r>
      <w:bookmarkEnd w:id="159"/>
    </w:p>
    <w:p>
      <w:pPr>
        <w:snapToGrid w:val="0"/>
        <w:spacing w:line="380" w:lineRule="exact"/>
        <w:ind w:firstLine="360" w:firstLineChars="150"/>
        <w:outlineLvl w:val="0"/>
        <w:rPr>
          <w:rFonts w:ascii="方正仿宋_GBK" w:hAnsi="宋体" w:eastAsia="方正仿宋_GBK"/>
          <w:bCs/>
          <w:sz w:val="24"/>
        </w:rPr>
      </w:pPr>
      <w:bookmarkStart w:id="160" w:name="_Toc26913_WPSOffice_Level2"/>
      <w:bookmarkStart w:id="161" w:name="_Toc17672"/>
      <w:bookmarkStart w:id="162" w:name="_Toc5457"/>
      <w:r>
        <w:rPr>
          <w:rFonts w:hint="eastAsia" w:ascii="方正仿宋_GBK" w:hAnsi="宋体" w:eastAsia="方正仿宋_GBK"/>
          <w:bCs/>
          <w:sz w:val="24"/>
        </w:rPr>
        <w:t>十、合同争议的解决</w:t>
      </w:r>
      <w:bookmarkEnd w:id="160"/>
      <w:bookmarkEnd w:id="161"/>
      <w:bookmarkEnd w:id="162"/>
    </w:p>
    <w:p>
      <w:pPr>
        <w:snapToGrid w:val="0"/>
        <w:spacing w:line="380" w:lineRule="exact"/>
        <w:ind w:firstLine="360" w:firstLineChars="150"/>
        <w:outlineLvl w:val="0"/>
        <w:rPr>
          <w:rFonts w:ascii="方正仿宋_GBK" w:hAnsi="宋体" w:eastAsia="方正仿宋_GBK"/>
          <w:bCs/>
          <w:sz w:val="24"/>
        </w:rPr>
      </w:pPr>
      <w:bookmarkStart w:id="163" w:name="_Toc23636"/>
      <w:r>
        <w:rPr>
          <w:rFonts w:hint="eastAsia" w:ascii="方正仿宋_GBK" w:hAnsi="宋体" w:eastAsia="方正仿宋_GBK"/>
          <w:bCs/>
          <w:sz w:val="24"/>
        </w:rPr>
        <w:t>（一）当事人友好协商达成一致</w:t>
      </w:r>
      <w:bookmarkEnd w:id="163"/>
    </w:p>
    <w:p>
      <w:pPr>
        <w:snapToGrid w:val="0"/>
        <w:spacing w:line="380" w:lineRule="exact"/>
        <w:ind w:firstLine="360" w:firstLineChars="150"/>
        <w:outlineLvl w:val="0"/>
        <w:rPr>
          <w:rFonts w:ascii="方正仿宋_GBK" w:hAnsi="宋体" w:eastAsia="方正仿宋_GBK"/>
          <w:bCs/>
          <w:sz w:val="24"/>
        </w:rPr>
      </w:pPr>
      <w:bookmarkStart w:id="164" w:name="_Toc14999"/>
      <w:r>
        <w:rPr>
          <w:rFonts w:hint="eastAsia" w:ascii="方正仿宋_GBK" w:hAnsi="宋体" w:eastAsia="方正仿宋_GBK"/>
          <w:bCs/>
          <w:sz w:val="24"/>
        </w:rPr>
        <w:t>（二）在60天内当事人协商不能达成协议的，可提请采购人当地仲裁机构仲裁。</w:t>
      </w:r>
      <w:bookmarkEnd w:id="164"/>
    </w:p>
    <w:p>
      <w:pPr>
        <w:snapToGrid w:val="0"/>
        <w:spacing w:line="380" w:lineRule="exact"/>
        <w:ind w:firstLine="360" w:firstLineChars="150"/>
        <w:outlineLvl w:val="0"/>
        <w:rPr>
          <w:rFonts w:ascii="方正仿宋_GBK" w:hAnsi="宋体" w:eastAsia="方正仿宋_GBK"/>
          <w:bCs/>
          <w:sz w:val="24"/>
        </w:rPr>
      </w:pPr>
      <w:bookmarkStart w:id="165" w:name="_Toc23192"/>
      <w:bookmarkStart w:id="166" w:name="_Toc31630_WPSOffice_Level2"/>
      <w:bookmarkStart w:id="167" w:name="_Toc26261"/>
      <w:r>
        <w:rPr>
          <w:rFonts w:hint="eastAsia" w:ascii="方正仿宋_GBK" w:hAnsi="宋体" w:eastAsia="方正仿宋_GBK"/>
          <w:bCs/>
          <w:sz w:val="24"/>
        </w:rPr>
        <w:t>十一、违约责任</w:t>
      </w:r>
      <w:bookmarkEnd w:id="165"/>
      <w:bookmarkEnd w:id="166"/>
      <w:bookmarkEnd w:id="167"/>
    </w:p>
    <w:p>
      <w:pPr>
        <w:snapToGrid w:val="0"/>
        <w:spacing w:line="380" w:lineRule="exact"/>
        <w:ind w:firstLine="360" w:firstLineChars="150"/>
        <w:outlineLvl w:val="0"/>
        <w:rPr>
          <w:rFonts w:ascii="方正仿宋_GBK" w:hAnsi="宋体" w:eastAsia="方正仿宋_GBK"/>
          <w:bCs/>
          <w:sz w:val="24"/>
        </w:rPr>
      </w:pPr>
      <w:bookmarkStart w:id="168" w:name="_Toc3117"/>
      <w:r>
        <w:rPr>
          <w:rFonts w:hint="eastAsia" w:ascii="方正仿宋_GBK" w:hAnsi="宋体" w:eastAsia="方正仿宋_GBK"/>
          <w:bCs/>
          <w:sz w:val="24"/>
        </w:rPr>
        <w:t>按《中华人民共和国合同法》、《中华人民共和国政府采购法》有关条款，或由供需双方约定。</w:t>
      </w:r>
      <w:bookmarkEnd w:id="168"/>
    </w:p>
    <w:p>
      <w:pPr>
        <w:snapToGrid w:val="0"/>
        <w:spacing w:line="380" w:lineRule="exact"/>
        <w:ind w:firstLine="360" w:firstLineChars="150"/>
        <w:outlineLvl w:val="0"/>
        <w:rPr>
          <w:rFonts w:ascii="方正仿宋_GBK" w:hAnsi="宋体" w:eastAsia="方正仿宋_GBK"/>
          <w:bCs/>
          <w:sz w:val="24"/>
        </w:rPr>
      </w:pPr>
      <w:bookmarkStart w:id="169" w:name="_Toc19171"/>
      <w:bookmarkStart w:id="170" w:name="_Toc15570"/>
      <w:bookmarkStart w:id="171" w:name="_Toc8189_WPSOffice_Level2"/>
      <w:r>
        <w:rPr>
          <w:rFonts w:hint="eastAsia" w:ascii="方正仿宋_GBK" w:hAnsi="宋体" w:eastAsia="方正仿宋_GBK"/>
          <w:bCs/>
          <w:sz w:val="24"/>
        </w:rPr>
        <w:t>十二、合同生效及其它</w:t>
      </w:r>
      <w:bookmarkEnd w:id="169"/>
      <w:bookmarkEnd w:id="170"/>
      <w:bookmarkEnd w:id="171"/>
    </w:p>
    <w:p>
      <w:pPr>
        <w:snapToGrid w:val="0"/>
        <w:spacing w:line="380" w:lineRule="exact"/>
        <w:ind w:firstLine="360" w:firstLineChars="150"/>
        <w:outlineLvl w:val="0"/>
        <w:rPr>
          <w:rFonts w:ascii="方正仿宋_GBK" w:hAnsi="宋体" w:eastAsia="方正仿宋_GBK"/>
          <w:bCs/>
          <w:sz w:val="24"/>
        </w:rPr>
      </w:pPr>
      <w:bookmarkStart w:id="172" w:name="_Toc11298"/>
      <w:r>
        <w:rPr>
          <w:rFonts w:hint="eastAsia" w:ascii="方正仿宋_GBK" w:hAnsi="宋体" w:eastAsia="方正仿宋_GBK"/>
          <w:bCs/>
          <w:sz w:val="24"/>
        </w:rPr>
        <w:t>（一）合同生效及其效力应符合《中华人民共和国合同法》有关规定。</w:t>
      </w:r>
      <w:bookmarkEnd w:id="172"/>
    </w:p>
    <w:p>
      <w:pPr>
        <w:snapToGrid w:val="0"/>
        <w:spacing w:line="380" w:lineRule="exact"/>
        <w:ind w:firstLine="360" w:firstLineChars="150"/>
        <w:outlineLvl w:val="0"/>
        <w:rPr>
          <w:rFonts w:ascii="方正仿宋_GBK" w:hAnsi="宋体" w:eastAsia="方正仿宋_GBK"/>
          <w:bCs/>
          <w:sz w:val="24"/>
        </w:rPr>
      </w:pPr>
      <w:bookmarkStart w:id="173" w:name="_Toc9765"/>
      <w:r>
        <w:rPr>
          <w:rFonts w:hint="eastAsia" w:ascii="方正仿宋_GBK" w:hAnsi="宋体" w:eastAsia="方正仿宋_GBK"/>
          <w:bCs/>
          <w:sz w:val="24"/>
        </w:rPr>
        <w:t>（二）合同应经当事人法定代表人或委托代理人签字，加盖双方合同专用章或公章。</w:t>
      </w:r>
      <w:bookmarkEnd w:id="173"/>
    </w:p>
    <w:p>
      <w:pPr>
        <w:snapToGrid w:val="0"/>
        <w:spacing w:line="380" w:lineRule="exact"/>
        <w:ind w:firstLine="360" w:firstLineChars="150"/>
        <w:outlineLvl w:val="0"/>
        <w:rPr>
          <w:rFonts w:ascii="方正仿宋_GBK" w:hAnsi="宋体" w:eastAsia="方正仿宋_GBK"/>
          <w:bCs/>
          <w:sz w:val="24"/>
        </w:rPr>
      </w:pPr>
      <w:bookmarkStart w:id="174" w:name="_Toc15670"/>
      <w:r>
        <w:rPr>
          <w:rFonts w:hint="eastAsia" w:ascii="方正仿宋_GBK" w:hAnsi="宋体" w:eastAsia="方正仿宋_GBK"/>
          <w:bCs/>
          <w:sz w:val="24"/>
        </w:rPr>
        <w:t>（三）合同所包括附件，是合同不可分割的一部分，具有同等法法律效力。</w:t>
      </w:r>
      <w:bookmarkEnd w:id="174"/>
    </w:p>
    <w:p>
      <w:pPr>
        <w:snapToGrid w:val="0"/>
        <w:spacing w:line="380" w:lineRule="exact"/>
        <w:ind w:firstLine="360" w:firstLineChars="150"/>
        <w:outlineLvl w:val="0"/>
        <w:rPr>
          <w:rFonts w:ascii="方正仿宋_GBK" w:hAnsi="宋体" w:eastAsia="方正仿宋_GBK"/>
          <w:bCs/>
          <w:sz w:val="24"/>
        </w:rPr>
      </w:pPr>
      <w:bookmarkStart w:id="175" w:name="_Toc4585"/>
      <w:r>
        <w:rPr>
          <w:rFonts w:hint="eastAsia" w:ascii="方正仿宋_GBK" w:hAnsi="宋体" w:eastAsia="方正仿宋_GBK"/>
          <w:bCs/>
          <w:sz w:val="24"/>
        </w:rPr>
        <w:t>（四）合同需提供担保的，按《中华人民共和国担保法》规定执行。</w:t>
      </w:r>
      <w:bookmarkEnd w:id="175"/>
    </w:p>
    <w:p>
      <w:pPr>
        <w:snapToGrid w:val="0"/>
        <w:spacing w:line="380" w:lineRule="exact"/>
        <w:ind w:firstLine="360" w:firstLineChars="150"/>
        <w:outlineLvl w:val="0"/>
        <w:rPr>
          <w:rFonts w:ascii="方正仿宋_GBK" w:hAnsi="宋体" w:eastAsia="方正仿宋_GBK"/>
          <w:bCs/>
          <w:sz w:val="24"/>
        </w:rPr>
      </w:pPr>
      <w:bookmarkStart w:id="176" w:name="_Toc2701"/>
      <w:r>
        <w:rPr>
          <w:rFonts w:hint="eastAsia" w:ascii="方正仿宋_GBK" w:hAnsi="宋体" w:eastAsia="方正仿宋_GBK"/>
          <w:bCs/>
          <w:sz w:val="24"/>
        </w:rPr>
        <w:t>（五）本合同条件未尽事宜依照《中华人民共和国合同法》，由供需双方共同协商确定。</w:t>
      </w:r>
      <w:bookmarkEnd w:id="176"/>
    </w:p>
    <w:p>
      <w:pPr>
        <w:snapToGrid w:val="0"/>
        <w:spacing w:line="360" w:lineRule="auto"/>
        <w:ind w:firstLine="570"/>
        <w:rPr>
          <w:rFonts w:ascii="宋体" w:hAnsi="宋体"/>
          <w:sz w:val="24"/>
          <w:szCs w:val="24"/>
        </w:rPr>
        <w:sectPr>
          <w:headerReference r:id="rId8" w:type="default"/>
          <w:footerReference r:id="rId9" w:type="default"/>
          <w:pgSz w:w="11850" w:h="16783"/>
          <w:pgMar w:top="1134" w:right="1191" w:bottom="1134" w:left="1304" w:header="964" w:footer="992" w:gutter="0"/>
          <w:pgNumType w:fmt="numberInDash"/>
          <w:cols w:space="720" w:num="1"/>
          <w:docGrid w:linePitch="312" w:charSpace="0"/>
        </w:sectPr>
      </w:pPr>
    </w:p>
    <w:p>
      <w:pPr>
        <w:rPr>
          <w:rFonts w:ascii="方正仿宋_GBK" w:eastAsia="方正仿宋_GBK"/>
          <w:sz w:val="24"/>
        </w:rPr>
      </w:pPr>
      <w:bookmarkStart w:id="177" w:name="_Toc303945820"/>
      <w:bookmarkStart w:id="178" w:name="_Toc148265480"/>
      <w:r>
        <w:rPr>
          <w:rFonts w:hint="eastAsia" w:ascii="方正仿宋_GBK" w:eastAsia="方正仿宋_GBK"/>
          <w:sz w:val="24"/>
        </w:rPr>
        <w:t>附页：合同格式</w:t>
      </w:r>
      <w:bookmarkEnd w:id="177"/>
      <w:bookmarkEnd w:id="178"/>
    </w:p>
    <w:p>
      <w:pPr>
        <w:spacing w:line="500" w:lineRule="exact"/>
        <w:jc w:val="center"/>
        <w:rPr>
          <w:rFonts w:ascii="方正仿宋_GBK" w:eastAsia="方正仿宋_GBK"/>
          <w:b/>
          <w:sz w:val="44"/>
        </w:rPr>
      </w:pPr>
      <w:bookmarkStart w:id="179" w:name="_Toc26618_WPSOffice_Level2"/>
      <w:bookmarkStart w:id="180" w:name="_Toc10952"/>
    </w:p>
    <w:p>
      <w:pPr>
        <w:spacing w:line="500" w:lineRule="exact"/>
        <w:jc w:val="center"/>
        <w:outlineLvl w:val="1"/>
        <w:rPr>
          <w:rFonts w:ascii="方正仿宋_GBK" w:eastAsia="方正仿宋_GBK"/>
          <w:b/>
          <w:sz w:val="44"/>
        </w:rPr>
      </w:pPr>
      <w:bookmarkStart w:id="181" w:name="_Toc12057"/>
      <w:r>
        <w:rPr>
          <w:rFonts w:hint="eastAsia" w:ascii="方正仿宋_GBK" w:eastAsia="方正仿宋_GBK"/>
          <w:b/>
          <w:sz w:val="44"/>
        </w:rPr>
        <w:t>重庆城市管理职业学院</w:t>
      </w:r>
      <w:bookmarkEnd w:id="181"/>
    </w:p>
    <w:p>
      <w:pPr>
        <w:spacing w:line="500" w:lineRule="exact"/>
        <w:jc w:val="center"/>
        <w:outlineLvl w:val="1"/>
        <w:rPr>
          <w:rFonts w:ascii="方正仿宋_GBK" w:eastAsia="方正仿宋_GBK"/>
          <w:b/>
          <w:sz w:val="44"/>
        </w:rPr>
      </w:pPr>
      <w:bookmarkStart w:id="182" w:name="_Toc32250"/>
      <w:r>
        <w:rPr>
          <w:rFonts w:hint="eastAsia" w:ascii="方正仿宋_GBK" w:eastAsia="方正仿宋_GBK"/>
          <w:b/>
          <w:sz w:val="44"/>
          <w:lang w:eastAsia="zh-CN"/>
        </w:rPr>
        <w:t>物联网1+X证书实训设备</w:t>
      </w:r>
      <w:r>
        <w:rPr>
          <w:rFonts w:hint="eastAsia" w:ascii="方正仿宋_GBK" w:eastAsia="方正仿宋_GBK"/>
          <w:b/>
          <w:sz w:val="44"/>
        </w:rPr>
        <w:t>采购合同</w:t>
      </w:r>
      <w:bookmarkEnd w:id="179"/>
      <w:bookmarkEnd w:id="180"/>
      <w:bookmarkEnd w:id="182"/>
    </w:p>
    <w:p>
      <w:pPr>
        <w:spacing w:line="500" w:lineRule="exact"/>
        <w:jc w:val="center"/>
        <w:rPr>
          <w:rFonts w:ascii="方正仿宋_GBK" w:eastAsia="方正仿宋_GBK"/>
          <w:b/>
          <w:sz w:val="44"/>
        </w:rPr>
      </w:pPr>
    </w:p>
    <w:p>
      <w:pPr>
        <w:spacing w:line="500" w:lineRule="exact"/>
        <w:jc w:val="center"/>
        <w:outlineLvl w:val="1"/>
        <w:rPr>
          <w:rFonts w:ascii="方正仿宋_GBK" w:eastAsia="方正仿宋_GBK"/>
        </w:rPr>
      </w:pPr>
      <w:bookmarkStart w:id="183" w:name="_Toc22230_WPSOffice_Level2"/>
      <w:bookmarkStart w:id="184" w:name="_Toc28064"/>
      <w:bookmarkStart w:id="185" w:name="_Toc25595"/>
      <w:r>
        <w:rPr>
          <w:rFonts w:hint="eastAsia" w:ascii="方正仿宋_GBK" w:eastAsia="方正仿宋_GBK"/>
        </w:rPr>
        <w:t>（项目号：     ）</w:t>
      </w:r>
      <w:bookmarkEnd w:id="183"/>
      <w:bookmarkEnd w:id="184"/>
      <w:bookmarkEnd w:id="185"/>
    </w:p>
    <w:p>
      <w:pPr>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甲方（需方）：___________________________      计价单位：____________</w:t>
      </w:r>
    </w:p>
    <w:p>
      <w:pPr>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乙方（供方）：___________________________      计量单位：_____________</w:t>
      </w:r>
    </w:p>
    <w:p>
      <w:pPr>
        <w:spacing w:line="500" w:lineRule="exact"/>
        <w:rPr>
          <w:rFonts w:asciiTheme="minorEastAsia" w:hAnsiTheme="minorEastAsia" w:eastAsiaTheme="minorEastAsia" w:cstheme="minorEastAsia"/>
          <w:sz w:val="24"/>
          <w:szCs w:val="24"/>
        </w:rPr>
      </w:pP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根据《中华人民共和国合同法》、重庆城市管理职业学院</w:t>
      </w:r>
      <w:r>
        <w:rPr>
          <w:rFonts w:hint="eastAsia" w:asciiTheme="minorEastAsia" w:hAnsiTheme="minorEastAsia" w:eastAsiaTheme="minorEastAsia" w:cstheme="minorEastAsia"/>
          <w:sz w:val="24"/>
          <w:szCs w:val="24"/>
          <w:lang w:eastAsia="zh-CN"/>
        </w:rPr>
        <w:t>物联网1+X证书实训设备</w:t>
      </w:r>
      <w:r>
        <w:rPr>
          <w:rFonts w:hint="eastAsia" w:asciiTheme="minorEastAsia" w:hAnsiTheme="minorEastAsia" w:eastAsiaTheme="minorEastAsia" w:cstheme="minorEastAsia"/>
          <w:sz w:val="24"/>
          <w:szCs w:val="24"/>
        </w:rPr>
        <w:t>竞争性谈判文件（项目号</w:t>
      </w:r>
      <w:r>
        <w:rPr>
          <w:rFonts w:hint="eastAsia" w:asciiTheme="minorEastAsia" w:hAnsiTheme="minorEastAsia" w:eastAsiaTheme="minorEastAsia" w:cstheme="minorEastAsia"/>
          <w:bCs/>
          <w:sz w:val="24"/>
          <w:szCs w:val="24"/>
          <w:lang w:eastAsia="zh-CN"/>
        </w:rPr>
        <w:t>CSWU2020A-14</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sz w:val="24"/>
          <w:szCs w:val="24"/>
        </w:rPr>
        <w:t>供方的《投标文件》及其相关承诺事项，甲、乙双方同意签订本合同。详细技术说明及其他有关合同项目的特定信息由合同附件予以说明，合同附件及本项目的招标文件、投标文件等均为本合同不可分割的部分。双方同意共同遵守如下条款：经双方协商一致，达成以下服务合同：</w:t>
      </w:r>
    </w:p>
    <w:p>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yellow"/>
        </w:rPr>
        <w:t>根据谈判文件和投标文件及相关承诺填写。</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855"/>
        <w:gridCol w:w="810"/>
        <w:gridCol w:w="1545"/>
        <w:gridCol w:w="930"/>
        <w:gridCol w:w="1215"/>
        <w:gridCol w:w="1215"/>
        <w:gridCol w:w="945"/>
        <w:gridCol w:w="1338"/>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760" w:type="dxa"/>
            <w:vAlign w:val="center"/>
          </w:tcPr>
          <w:p>
            <w:pPr>
              <w:spacing w:line="5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855" w:type="dxa"/>
            <w:vAlign w:val="center"/>
          </w:tcPr>
          <w:p>
            <w:pPr>
              <w:spacing w:line="5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产品名称</w:t>
            </w:r>
          </w:p>
        </w:tc>
        <w:tc>
          <w:tcPr>
            <w:tcW w:w="810" w:type="dxa"/>
            <w:vAlign w:val="center"/>
          </w:tcPr>
          <w:p>
            <w:pPr>
              <w:spacing w:line="5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规格型号 </w:t>
            </w:r>
          </w:p>
        </w:tc>
        <w:tc>
          <w:tcPr>
            <w:tcW w:w="1545" w:type="dxa"/>
            <w:vAlign w:val="center"/>
          </w:tcPr>
          <w:p>
            <w:pPr>
              <w:spacing w:line="5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参考图片</w:t>
            </w:r>
          </w:p>
        </w:tc>
        <w:tc>
          <w:tcPr>
            <w:tcW w:w="2145" w:type="dxa"/>
            <w:gridSpan w:val="2"/>
            <w:vAlign w:val="center"/>
          </w:tcPr>
          <w:p>
            <w:pPr>
              <w:spacing w:line="5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主要技术参数及功能要求</w:t>
            </w:r>
          </w:p>
        </w:tc>
        <w:tc>
          <w:tcPr>
            <w:tcW w:w="1215" w:type="dxa"/>
            <w:vAlign w:val="center"/>
          </w:tcPr>
          <w:p>
            <w:pPr>
              <w:spacing w:line="5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945" w:type="dxa"/>
            <w:vAlign w:val="center"/>
          </w:tcPr>
          <w:p>
            <w:pPr>
              <w:spacing w:line="5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单价</w:t>
            </w:r>
          </w:p>
        </w:tc>
        <w:tc>
          <w:tcPr>
            <w:tcW w:w="1338" w:type="dxa"/>
            <w:vAlign w:val="center"/>
          </w:tcPr>
          <w:p>
            <w:pPr>
              <w:spacing w:line="54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69" w:hRule="atLeast"/>
        </w:trPr>
        <w:tc>
          <w:tcPr>
            <w:tcW w:w="760" w:type="dxa"/>
            <w:vAlign w:val="center"/>
          </w:tcPr>
          <w:p>
            <w:pPr>
              <w:spacing w:line="500" w:lineRule="exact"/>
              <w:jc w:val="center"/>
              <w:rPr>
                <w:rFonts w:asciiTheme="minorEastAsia" w:hAnsiTheme="minorEastAsia" w:eastAsiaTheme="minorEastAsia" w:cstheme="minorEastAsia"/>
                <w:sz w:val="24"/>
                <w:szCs w:val="24"/>
              </w:rPr>
            </w:pPr>
          </w:p>
        </w:tc>
        <w:tc>
          <w:tcPr>
            <w:tcW w:w="855" w:type="dxa"/>
            <w:vAlign w:val="center"/>
          </w:tcPr>
          <w:p>
            <w:pPr>
              <w:pStyle w:val="27"/>
              <w:adjustRightInd w:val="0"/>
              <w:snapToGrid w:val="0"/>
              <w:spacing w:line="580" w:lineRule="exact"/>
              <w:ind w:firstLine="0" w:firstLineChars="0"/>
              <w:rPr>
                <w:rFonts w:asciiTheme="minorEastAsia" w:hAnsiTheme="minorEastAsia" w:eastAsiaTheme="minorEastAsia" w:cstheme="minorEastAsia"/>
                <w:sz w:val="24"/>
                <w:szCs w:val="24"/>
              </w:rPr>
            </w:pPr>
          </w:p>
        </w:tc>
        <w:tc>
          <w:tcPr>
            <w:tcW w:w="810" w:type="dxa"/>
            <w:vAlign w:val="center"/>
          </w:tcPr>
          <w:p>
            <w:pPr>
              <w:pStyle w:val="27"/>
              <w:adjustRightInd w:val="0"/>
              <w:snapToGrid w:val="0"/>
              <w:spacing w:line="580" w:lineRule="exact"/>
              <w:ind w:firstLine="0" w:firstLineChars="0"/>
              <w:rPr>
                <w:rFonts w:asciiTheme="minorEastAsia" w:hAnsiTheme="minorEastAsia" w:eastAsiaTheme="minorEastAsia" w:cstheme="minorEastAsia"/>
                <w:kern w:val="0"/>
                <w:sz w:val="24"/>
                <w:szCs w:val="24"/>
              </w:rPr>
            </w:pPr>
          </w:p>
        </w:tc>
        <w:tc>
          <w:tcPr>
            <w:tcW w:w="1545" w:type="dxa"/>
            <w:vAlign w:val="center"/>
          </w:tcPr>
          <w:p>
            <w:pPr>
              <w:pStyle w:val="27"/>
              <w:adjustRightInd w:val="0"/>
              <w:snapToGrid w:val="0"/>
              <w:spacing w:line="580" w:lineRule="exact"/>
              <w:ind w:firstLine="0" w:firstLineChars="0"/>
              <w:rPr>
                <w:rFonts w:asciiTheme="minorEastAsia" w:hAnsiTheme="minorEastAsia" w:eastAsiaTheme="minorEastAsia" w:cstheme="minorEastAsia"/>
                <w:kern w:val="0"/>
                <w:sz w:val="24"/>
                <w:szCs w:val="24"/>
              </w:rPr>
            </w:pPr>
          </w:p>
        </w:tc>
        <w:tc>
          <w:tcPr>
            <w:tcW w:w="2145" w:type="dxa"/>
            <w:gridSpan w:val="2"/>
            <w:vAlign w:val="center"/>
          </w:tcPr>
          <w:p>
            <w:pPr>
              <w:pStyle w:val="27"/>
              <w:adjustRightInd w:val="0"/>
              <w:snapToGrid w:val="0"/>
              <w:spacing w:line="580" w:lineRule="exact"/>
              <w:ind w:firstLine="0" w:firstLineChars="0"/>
              <w:rPr>
                <w:rFonts w:asciiTheme="minorEastAsia" w:hAnsiTheme="minorEastAsia" w:eastAsiaTheme="minorEastAsia" w:cstheme="minorEastAsia"/>
                <w:kern w:val="0"/>
                <w:sz w:val="24"/>
                <w:szCs w:val="24"/>
              </w:rPr>
            </w:pPr>
          </w:p>
        </w:tc>
        <w:tc>
          <w:tcPr>
            <w:tcW w:w="1215" w:type="dxa"/>
            <w:vAlign w:val="center"/>
          </w:tcPr>
          <w:p>
            <w:pPr>
              <w:spacing w:line="500" w:lineRule="exact"/>
              <w:jc w:val="center"/>
              <w:rPr>
                <w:rFonts w:asciiTheme="minorEastAsia" w:hAnsiTheme="minorEastAsia" w:eastAsiaTheme="minorEastAsia" w:cstheme="minorEastAsia"/>
                <w:sz w:val="24"/>
                <w:szCs w:val="24"/>
              </w:rPr>
            </w:pPr>
          </w:p>
        </w:tc>
        <w:tc>
          <w:tcPr>
            <w:tcW w:w="945" w:type="dxa"/>
            <w:vAlign w:val="center"/>
          </w:tcPr>
          <w:p>
            <w:pPr>
              <w:spacing w:line="500" w:lineRule="exact"/>
              <w:jc w:val="center"/>
              <w:rPr>
                <w:rFonts w:asciiTheme="minorEastAsia" w:hAnsiTheme="minorEastAsia" w:eastAsiaTheme="minorEastAsia" w:cstheme="minorEastAsia"/>
                <w:sz w:val="24"/>
                <w:szCs w:val="24"/>
              </w:rPr>
            </w:pPr>
          </w:p>
        </w:tc>
        <w:tc>
          <w:tcPr>
            <w:tcW w:w="1338" w:type="dxa"/>
            <w:vAlign w:val="center"/>
          </w:tcPr>
          <w:p>
            <w:pPr>
              <w:spacing w:line="500" w:lineRule="exact"/>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25" w:hRule="atLeast"/>
        </w:trPr>
        <w:tc>
          <w:tcPr>
            <w:tcW w:w="760" w:type="dxa"/>
            <w:vAlign w:val="center"/>
          </w:tcPr>
          <w:p>
            <w:pPr>
              <w:spacing w:line="500" w:lineRule="exact"/>
              <w:jc w:val="center"/>
              <w:rPr>
                <w:rFonts w:asciiTheme="minorEastAsia" w:hAnsiTheme="minorEastAsia" w:eastAsiaTheme="minorEastAsia" w:cstheme="minorEastAsia"/>
                <w:sz w:val="24"/>
                <w:szCs w:val="24"/>
              </w:rPr>
            </w:pPr>
          </w:p>
        </w:tc>
        <w:tc>
          <w:tcPr>
            <w:tcW w:w="855" w:type="dxa"/>
            <w:vAlign w:val="center"/>
          </w:tcPr>
          <w:p>
            <w:pPr>
              <w:pStyle w:val="27"/>
              <w:adjustRightInd w:val="0"/>
              <w:snapToGrid w:val="0"/>
              <w:spacing w:line="580" w:lineRule="exact"/>
              <w:ind w:firstLine="0" w:firstLineChars="0"/>
              <w:rPr>
                <w:rFonts w:asciiTheme="minorEastAsia" w:hAnsiTheme="minorEastAsia" w:eastAsiaTheme="minorEastAsia" w:cstheme="minorEastAsia"/>
                <w:sz w:val="24"/>
                <w:szCs w:val="24"/>
              </w:rPr>
            </w:pPr>
          </w:p>
        </w:tc>
        <w:tc>
          <w:tcPr>
            <w:tcW w:w="810" w:type="dxa"/>
            <w:vAlign w:val="center"/>
          </w:tcPr>
          <w:p>
            <w:pPr>
              <w:pStyle w:val="27"/>
              <w:adjustRightInd w:val="0"/>
              <w:snapToGrid w:val="0"/>
              <w:spacing w:line="580" w:lineRule="exact"/>
              <w:ind w:firstLine="0" w:firstLineChars="0"/>
              <w:rPr>
                <w:rFonts w:asciiTheme="minorEastAsia" w:hAnsiTheme="minorEastAsia" w:eastAsiaTheme="minorEastAsia" w:cstheme="minorEastAsia"/>
                <w:kern w:val="0"/>
                <w:sz w:val="24"/>
                <w:szCs w:val="24"/>
              </w:rPr>
            </w:pPr>
          </w:p>
        </w:tc>
        <w:tc>
          <w:tcPr>
            <w:tcW w:w="1545" w:type="dxa"/>
            <w:vAlign w:val="center"/>
          </w:tcPr>
          <w:p>
            <w:pPr>
              <w:pStyle w:val="27"/>
              <w:adjustRightInd w:val="0"/>
              <w:snapToGrid w:val="0"/>
              <w:spacing w:line="580" w:lineRule="exact"/>
              <w:ind w:firstLine="0" w:firstLineChars="0"/>
              <w:rPr>
                <w:rFonts w:asciiTheme="minorEastAsia" w:hAnsiTheme="minorEastAsia" w:eastAsiaTheme="minorEastAsia" w:cstheme="minorEastAsia"/>
                <w:kern w:val="0"/>
                <w:sz w:val="24"/>
                <w:szCs w:val="24"/>
              </w:rPr>
            </w:pPr>
          </w:p>
        </w:tc>
        <w:tc>
          <w:tcPr>
            <w:tcW w:w="2145" w:type="dxa"/>
            <w:gridSpan w:val="2"/>
            <w:vAlign w:val="center"/>
          </w:tcPr>
          <w:p>
            <w:pPr>
              <w:pStyle w:val="27"/>
              <w:adjustRightInd w:val="0"/>
              <w:snapToGrid w:val="0"/>
              <w:spacing w:line="580" w:lineRule="exact"/>
              <w:ind w:firstLine="0" w:firstLineChars="0"/>
              <w:rPr>
                <w:rFonts w:asciiTheme="minorEastAsia" w:hAnsiTheme="minorEastAsia" w:eastAsiaTheme="minorEastAsia" w:cstheme="minorEastAsia"/>
                <w:kern w:val="0"/>
                <w:sz w:val="24"/>
                <w:szCs w:val="24"/>
              </w:rPr>
            </w:pPr>
          </w:p>
        </w:tc>
        <w:tc>
          <w:tcPr>
            <w:tcW w:w="1215" w:type="dxa"/>
            <w:vAlign w:val="center"/>
          </w:tcPr>
          <w:p>
            <w:pPr>
              <w:spacing w:line="500" w:lineRule="exact"/>
              <w:jc w:val="center"/>
              <w:rPr>
                <w:rFonts w:asciiTheme="minorEastAsia" w:hAnsiTheme="minorEastAsia" w:eastAsiaTheme="minorEastAsia" w:cstheme="minorEastAsia"/>
                <w:sz w:val="24"/>
                <w:szCs w:val="24"/>
              </w:rPr>
            </w:pPr>
          </w:p>
        </w:tc>
        <w:tc>
          <w:tcPr>
            <w:tcW w:w="945" w:type="dxa"/>
            <w:vAlign w:val="center"/>
          </w:tcPr>
          <w:p>
            <w:pPr>
              <w:pStyle w:val="12"/>
              <w:tabs>
                <w:tab w:val="left" w:pos="4905"/>
              </w:tabs>
              <w:spacing w:line="360" w:lineRule="auto"/>
              <w:ind w:firstLine="480" w:firstLineChars="200"/>
              <w:rPr>
                <w:rFonts w:asciiTheme="minorEastAsia" w:hAnsiTheme="minorEastAsia" w:eastAsiaTheme="minorEastAsia" w:cstheme="minorEastAsia"/>
                <w:sz w:val="24"/>
                <w:szCs w:val="24"/>
              </w:rPr>
            </w:pPr>
          </w:p>
        </w:tc>
        <w:tc>
          <w:tcPr>
            <w:tcW w:w="1338" w:type="dxa"/>
            <w:vAlign w:val="center"/>
          </w:tcPr>
          <w:p>
            <w:pPr>
              <w:spacing w:line="500" w:lineRule="exact"/>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05" w:hRule="atLeast"/>
        </w:trPr>
        <w:tc>
          <w:tcPr>
            <w:tcW w:w="760" w:type="dxa"/>
            <w:vAlign w:val="center"/>
          </w:tcPr>
          <w:p>
            <w:pPr>
              <w:spacing w:line="500" w:lineRule="exact"/>
              <w:jc w:val="center"/>
              <w:rPr>
                <w:rFonts w:asciiTheme="minorEastAsia" w:hAnsiTheme="minorEastAsia" w:eastAsiaTheme="minorEastAsia" w:cstheme="minorEastAsia"/>
                <w:sz w:val="24"/>
                <w:szCs w:val="24"/>
              </w:rPr>
            </w:pPr>
          </w:p>
        </w:tc>
        <w:tc>
          <w:tcPr>
            <w:tcW w:w="855" w:type="dxa"/>
            <w:vAlign w:val="center"/>
          </w:tcPr>
          <w:p>
            <w:pPr>
              <w:pStyle w:val="27"/>
              <w:adjustRightInd w:val="0"/>
              <w:snapToGrid w:val="0"/>
              <w:spacing w:line="580" w:lineRule="exact"/>
              <w:ind w:firstLine="0" w:firstLineChars="0"/>
              <w:rPr>
                <w:rFonts w:asciiTheme="minorEastAsia" w:hAnsiTheme="minorEastAsia" w:eastAsiaTheme="minorEastAsia" w:cstheme="minorEastAsia"/>
                <w:sz w:val="24"/>
                <w:szCs w:val="24"/>
              </w:rPr>
            </w:pPr>
          </w:p>
        </w:tc>
        <w:tc>
          <w:tcPr>
            <w:tcW w:w="810" w:type="dxa"/>
            <w:vAlign w:val="center"/>
          </w:tcPr>
          <w:p>
            <w:pPr>
              <w:pStyle w:val="27"/>
              <w:adjustRightInd w:val="0"/>
              <w:snapToGrid w:val="0"/>
              <w:spacing w:line="580" w:lineRule="exact"/>
              <w:ind w:firstLine="0" w:firstLineChars="0"/>
              <w:rPr>
                <w:rFonts w:asciiTheme="minorEastAsia" w:hAnsiTheme="minorEastAsia" w:eastAsiaTheme="minorEastAsia" w:cstheme="minorEastAsia"/>
                <w:kern w:val="0"/>
                <w:sz w:val="24"/>
                <w:szCs w:val="24"/>
              </w:rPr>
            </w:pPr>
          </w:p>
        </w:tc>
        <w:tc>
          <w:tcPr>
            <w:tcW w:w="1545" w:type="dxa"/>
            <w:vAlign w:val="center"/>
          </w:tcPr>
          <w:p>
            <w:pPr>
              <w:pStyle w:val="27"/>
              <w:adjustRightInd w:val="0"/>
              <w:snapToGrid w:val="0"/>
              <w:spacing w:line="580" w:lineRule="exact"/>
              <w:ind w:firstLine="0" w:firstLineChars="0"/>
              <w:rPr>
                <w:rFonts w:asciiTheme="minorEastAsia" w:hAnsiTheme="minorEastAsia" w:eastAsiaTheme="minorEastAsia" w:cstheme="minorEastAsia"/>
                <w:kern w:val="0"/>
                <w:sz w:val="24"/>
                <w:szCs w:val="24"/>
              </w:rPr>
            </w:pPr>
          </w:p>
        </w:tc>
        <w:tc>
          <w:tcPr>
            <w:tcW w:w="2145" w:type="dxa"/>
            <w:gridSpan w:val="2"/>
            <w:vAlign w:val="center"/>
          </w:tcPr>
          <w:p>
            <w:pPr>
              <w:pStyle w:val="27"/>
              <w:adjustRightInd w:val="0"/>
              <w:snapToGrid w:val="0"/>
              <w:spacing w:line="580" w:lineRule="exact"/>
              <w:ind w:firstLine="0" w:firstLineChars="0"/>
              <w:rPr>
                <w:rFonts w:asciiTheme="minorEastAsia" w:hAnsiTheme="minorEastAsia" w:eastAsiaTheme="minorEastAsia" w:cstheme="minorEastAsia"/>
                <w:kern w:val="0"/>
                <w:sz w:val="24"/>
                <w:szCs w:val="24"/>
              </w:rPr>
            </w:pPr>
          </w:p>
        </w:tc>
        <w:tc>
          <w:tcPr>
            <w:tcW w:w="1215" w:type="dxa"/>
            <w:vAlign w:val="center"/>
          </w:tcPr>
          <w:p>
            <w:pPr>
              <w:spacing w:line="500" w:lineRule="exact"/>
              <w:jc w:val="center"/>
              <w:rPr>
                <w:rFonts w:asciiTheme="minorEastAsia" w:hAnsiTheme="minorEastAsia" w:eastAsiaTheme="minorEastAsia" w:cstheme="minorEastAsia"/>
                <w:sz w:val="24"/>
                <w:szCs w:val="24"/>
              </w:rPr>
            </w:pPr>
          </w:p>
        </w:tc>
        <w:tc>
          <w:tcPr>
            <w:tcW w:w="945" w:type="dxa"/>
            <w:vAlign w:val="center"/>
          </w:tcPr>
          <w:p>
            <w:pPr>
              <w:pStyle w:val="12"/>
              <w:tabs>
                <w:tab w:val="left" w:pos="4905"/>
              </w:tabs>
              <w:spacing w:line="360" w:lineRule="auto"/>
              <w:ind w:firstLine="480" w:firstLineChars="200"/>
              <w:rPr>
                <w:rFonts w:asciiTheme="minorEastAsia" w:hAnsiTheme="minorEastAsia" w:eastAsiaTheme="minorEastAsia" w:cstheme="minorEastAsia"/>
                <w:sz w:val="24"/>
                <w:szCs w:val="24"/>
              </w:rPr>
            </w:pPr>
          </w:p>
        </w:tc>
        <w:tc>
          <w:tcPr>
            <w:tcW w:w="1338" w:type="dxa"/>
            <w:vAlign w:val="center"/>
          </w:tcPr>
          <w:p>
            <w:pPr>
              <w:spacing w:line="500" w:lineRule="exact"/>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9"/>
            <w:vAlign w:val="center"/>
          </w:tcPr>
          <w:p>
            <w:pPr>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307" w:hRule="atLeast"/>
        </w:trPr>
        <w:tc>
          <w:tcPr>
            <w:tcW w:w="9613" w:type="dxa"/>
            <w:gridSpan w:val="9"/>
          </w:tcPr>
          <w:p>
            <w:pPr>
              <w:numPr>
                <w:ilvl w:val="0"/>
                <w:numId w:val="2"/>
              </w:numPr>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质量要求和技术标准</w:t>
            </w:r>
          </w:p>
          <w:p>
            <w:pPr>
              <w:spacing w:line="360" w:lineRule="auto"/>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供应商提供的全部货物质量符合国家标准，所供产品是正品全新的、未使用过的，采用质量优良的材料以及良好的工艺设计和制造，并经检测，试验完全符合规定的质量、规格和性能的要求。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0" w:hRule="atLeast"/>
        </w:trPr>
        <w:tc>
          <w:tcPr>
            <w:tcW w:w="9613" w:type="dxa"/>
            <w:gridSpan w:val="9"/>
          </w:tcPr>
          <w:p>
            <w:pPr>
              <w:pStyle w:val="12"/>
              <w:spacing w:line="360" w:lineRule="auto"/>
              <w:ind w:firstLine="480" w:firstLineChars="200"/>
            </w:pPr>
            <w:r>
              <w:rPr>
                <w:rFonts w:hint="eastAsia"/>
                <w:sz w:val="24"/>
                <w:szCs w:val="24"/>
              </w:rPr>
              <w:t>二、交货时间、地点和验收要求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3" w:hRule="atLeast"/>
        </w:trPr>
        <w:tc>
          <w:tcPr>
            <w:tcW w:w="9628" w:type="dxa"/>
            <w:gridSpan w:val="10"/>
          </w:tcPr>
          <w:p>
            <w:pPr>
              <w:spacing w:line="400" w:lineRule="exact"/>
              <w:ind w:firstLine="480" w:firstLineChars="200"/>
            </w:pPr>
            <w:r>
              <w:rPr>
                <w:rFonts w:hint="eastAsia"/>
                <w:sz w:val="24"/>
                <w:szCs w:val="24"/>
              </w:rPr>
              <w:t>三、质量保证和售后服务</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2" w:hRule="atLeast"/>
        </w:trPr>
        <w:tc>
          <w:tcPr>
            <w:tcW w:w="9628" w:type="dxa"/>
            <w:gridSpan w:val="10"/>
          </w:tcPr>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四、付款方式</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1、成交供应商需在合同签订前向采购人缴纳合同金额的5%作为履约保证金（注明项目名称和编号），履约保证金汇到以下账户：</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户名：重庆城市管理职业学院</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开户行：中国建设银行重庆沙坪坝支行熙街分理处</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账号：50001056800052500187</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2、验收合格后，乙方提供增值税发票，甲方向乙方支付合同全款；</w:t>
            </w:r>
          </w:p>
          <w:p>
            <w:pPr>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3、履约保证金在项目验收之日起至免费质量保证期满，无质量、售后和其它违约问题，由乙方提出申请，经采购人使用部门签字盖章后在15个工作日内无息支付给乙方。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trPr>
        <w:tc>
          <w:tcPr>
            <w:tcW w:w="9628" w:type="dxa"/>
            <w:gridSpan w:val="10"/>
          </w:tcPr>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五、违约责任</w:t>
            </w:r>
          </w:p>
          <w:p>
            <w:pPr>
              <w:tabs>
                <w:tab w:val="left" w:pos="360"/>
              </w:tabs>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1.按《合同法》执行，或按双方约定。</w:t>
            </w:r>
          </w:p>
          <w:p>
            <w:pPr>
              <w:tabs>
                <w:tab w:val="left" w:pos="360"/>
              </w:tabs>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2.乙方每延期一天，按照合同总额的千分之一收取乙方违约金；如甲方在验收合格并收到乙方发票后20个日历日内无故延期付款，每天支付给乙方千分之一的违约金。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10"/>
          </w:tcPr>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六、其他约定事项</w:t>
            </w:r>
          </w:p>
          <w:p>
            <w:pPr>
              <w:tabs>
                <w:tab w:val="left" w:pos="360"/>
              </w:tabs>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1.竞争性谈判文件及其补遗文件、响应文件和承诺是本合同不可分割的部分。</w:t>
            </w:r>
          </w:p>
          <w:p>
            <w:pPr>
              <w:tabs>
                <w:tab w:val="left" w:pos="360"/>
              </w:tabs>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2.本合同如发生争议由双方协商解决，协商不成向需方所在人民法院提请诉讼。</w:t>
            </w:r>
          </w:p>
          <w:p>
            <w:pPr>
              <w:tabs>
                <w:tab w:val="left" w:pos="360"/>
              </w:tabs>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3.本合同一式五份， 需方四份，供方一份，具同等法律效力。</w:t>
            </w:r>
          </w:p>
          <w:p>
            <w:pPr>
              <w:tabs>
                <w:tab w:val="left" w:pos="360"/>
              </w:tabs>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900" w:type="dxa"/>
            <w:gridSpan w:val="5"/>
          </w:tcPr>
          <w:p>
            <w:pPr>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甲方（需方）：</w:t>
            </w:r>
          </w:p>
          <w:p>
            <w:pPr>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p>
            <w:pPr>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p>
            <w:pPr>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法人代表：</w:t>
            </w:r>
          </w:p>
          <w:p>
            <w:pPr>
              <w:spacing w:line="500" w:lineRule="exact"/>
              <w:rPr>
                <w:rFonts w:asciiTheme="minorEastAsia" w:hAnsiTheme="minorEastAsia" w:eastAsiaTheme="minorEastAsia" w:cstheme="minorEastAsia"/>
                <w:sz w:val="24"/>
                <w:szCs w:val="24"/>
              </w:rPr>
            </w:pPr>
          </w:p>
          <w:p>
            <w:pPr>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经办人：</w:t>
            </w:r>
          </w:p>
          <w:p>
            <w:pPr>
              <w:spacing w:line="500" w:lineRule="exact"/>
              <w:rPr>
                <w:rFonts w:asciiTheme="minorEastAsia" w:hAnsiTheme="minorEastAsia" w:eastAsiaTheme="minorEastAsia" w:cstheme="minorEastAsia"/>
                <w:sz w:val="24"/>
                <w:szCs w:val="24"/>
              </w:rPr>
            </w:pPr>
          </w:p>
          <w:p>
            <w:pPr>
              <w:spacing w:line="500" w:lineRule="exact"/>
              <w:rPr>
                <w:rFonts w:asciiTheme="minorEastAsia" w:hAnsiTheme="minorEastAsia" w:eastAsiaTheme="minorEastAsia" w:cstheme="minorEastAsia"/>
                <w:sz w:val="24"/>
                <w:szCs w:val="24"/>
              </w:rPr>
            </w:pPr>
          </w:p>
          <w:p>
            <w:pPr>
              <w:spacing w:line="500" w:lineRule="exact"/>
              <w:rPr>
                <w:rFonts w:asciiTheme="minorEastAsia" w:hAnsiTheme="minorEastAsia" w:eastAsiaTheme="minorEastAsia" w:cstheme="minorEastAsia"/>
                <w:sz w:val="24"/>
                <w:szCs w:val="24"/>
              </w:rPr>
            </w:pPr>
          </w:p>
          <w:p>
            <w:pPr>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签约时间：</w:t>
            </w:r>
          </w:p>
        </w:tc>
        <w:tc>
          <w:tcPr>
            <w:tcW w:w="4728" w:type="dxa"/>
            <w:gridSpan w:val="5"/>
          </w:tcPr>
          <w:p>
            <w:pPr>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乙方（供方）：</w:t>
            </w:r>
          </w:p>
          <w:p>
            <w:pPr>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p>
            <w:pPr>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w:t>
            </w:r>
          </w:p>
          <w:p>
            <w:pPr>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传真：</w:t>
            </w:r>
          </w:p>
          <w:p>
            <w:pPr>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w:t>
            </w:r>
          </w:p>
          <w:p>
            <w:pPr>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账号：</w:t>
            </w:r>
          </w:p>
          <w:p>
            <w:pPr>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法人代表;</w:t>
            </w:r>
          </w:p>
          <w:p>
            <w:pPr>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授权代表：</w:t>
            </w:r>
          </w:p>
          <w:p>
            <w:pPr>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p>
            <w:pPr>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10"/>
          </w:tcPr>
          <w:p>
            <w:pPr>
              <w:spacing w:line="5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p>
            <w:pPr>
              <w:spacing w:line="500" w:lineRule="exact"/>
              <w:rPr>
                <w:rFonts w:asciiTheme="minorEastAsia" w:hAnsiTheme="minorEastAsia" w:eastAsiaTheme="minorEastAsia" w:cstheme="minorEastAsia"/>
                <w:sz w:val="24"/>
                <w:szCs w:val="24"/>
              </w:rPr>
            </w:pPr>
          </w:p>
        </w:tc>
      </w:tr>
    </w:tbl>
    <w:p>
      <w:pPr>
        <w:tabs>
          <w:tab w:val="left" w:pos="9000"/>
        </w:tabs>
        <w:spacing w:line="276" w:lineRule="auto"/>
        <w:jc w:val="center"/>
        <w:rPr>
          <w:rFonts w:ascii="方正仿宋_GBK" w:eastAsia="方正仿宋_GBK"/>
          <w:sz w:val="21"/>
          <w:szCs w:val="21"/>
        </w:rPr>
        <w:sectPr>
          <w:pgSz w:w="11907" w:h="16840"/>
          <w:pgMar w:top="1134" w:right="1191" w:bottom="1134" w:left="1304" w:header="964" w:footer="992" w:gutter="0"/>
          <w:pgNumType w:fmt="numberInDash"/>
          <w:cols w:space="720" w:num="1"/>
          <w:docGrid w:linePitch="312" w:charSpace="0"/>
        </w:sectPr>
      </w:pPr>
      <w:r>
        <w:rPr>
          <w:rFonts w:hint="eastAsia" w:ascii="方正仿宋_GBK" w:eastAsia="方正仿宋_GBK"/>
          <w:sz w:val="24"/>
        </w:rPr>
        <w:t xml:space="preserve">      </w:t>
      </w:r>
    </w:p>
    <w:p>
      <w:pPr>
        <w:pStyle w:val="4"/>
        <w:spacing w:line="360" w:lineRule="auto"/>
        <w:jc w:val="center"/>
        <w:rPr>
          <w:rFonts w:ascii="方正小标宋_GBK" w:hAnsi="宋体" w:eastAsia="方正小标宋_GBK"/>
          <w:b w:val="0"/>
          <w:sz w:val="36"/>
          <w:szCs w:val="30"/>
        </w:rPr>
      </w:pPr>
      <w:bookmarkStart w:id="186" w:name="_Hlt41879464"/>
      <w:bookmarkEnd w:id="186"/>
      <w:bookmarkStart w:id="187" w:name="_Toc12789072"/>
      <w:bookmarkStart w:id="188" w:name="_Toc16827_WPSOffice_Level1"/>
      <w:bookmarkStart w:id="189" w:name="_Toc8880"/>
      <w:bookmarkStart w:id="190" w:name="_Toc495320229"/>
      <w:bookmarkStart w:id="191" w:name="_Toc23245"/>
      <w:bookmarkStart w:id="192" w:name="_Toc24959"/>
      <w:r>
        <w:rPr>
          <w:rFonts w:hint="eastAsia" w:ascii="方正小标宋_GBK" w:hAnsi="宋体" w:eastAsia="方正小标宋_GBK"/>
          <w:b w:val="0"/>
          <w:sz w:val="36"/>
          <w:szCs w:val="30"/>
        </w:rPr>
        <w:t>第六篇  响应文件格式要求</w:t>
      </w:r>
      <w:bookmarkEnd w:id="187"/>
      <w:bookmarkEnd w:id="188"/>
      <w:bookmarkEnd w:id="189"/>
      <w:bookmarkEnd w:id="190"/>
      <w:bookmarkEnd w:id="191"/>
      <w:bookmarkEnd w:id="192"/>
    </w:p>
    <w:p>
      <w:pPr>
        <w:spacing w:line="440" w:lineRule="exact"/>
        <w:ind w:firstLine="480" w:firstLineChars="200"/>
        <w:rPr>
          <w:rFonts w:ascii="方正仿宋_GBK" w:hAnsi="宋体" w:eastAsia="方正仿宋_GBK"/>
          <w:b/>
          <w:bCs/>
          <w:sz w:val="24"/>
          <w:szCs w:val="24"/>
        </w:rPr>
      </w:pPr>
      <w:bookmarkStart w:id="193" w:name="_Toc30416_WPSOffice_Level2"/>
      <w:bookmarkStart w:id="194" w:name="_Toc23332"/>
      <w:r>
        <w:rPr>
          <w:rFonts w:hint="eastAsia" w:ascii="方正仿宋_GBK" w:hAnsi="宋体" w:eastAsia="方正仿宋_GBK"/>
          <w:b/>
          <w:bCs/>
          <w:sz w:val="24"/>
          <w:szCs w:val="24"/>
        </w:rPr>
        <w:t>一、经济部分</w:t>
      </w:r>
      <w:bookmarkEnd w:id="193"/>
      <w:bookmarkEnd w:id="194"/>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（一）竞争性报价函</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pPr>
        <w:spacing w:line="440" w:lineRule="exact"/>
        <w:ind w:firstLine="480" w:firstLineChars="200"/>
        <w:rPr>
          <w:rFonts w:ascii="方正仿宋_GBK" w:hAnsi="宋体" w:eastAsia="方正仿宋_GBK"/>
          <w:b/>
          <w:bCs/>
          <w:sz w:val="24"/>
          <w:szCs w:val="24"/>
        </w:rPr>
      </w:pPr>
      <w:bookmarkStart w:id="195" w:name="_Toc25013_WPSOffice_Level2"/>
      <w:bookmarkStart w:id="196" w:name="_Toc31116"/>
      <w:r>
        <w:rPr>
          <w:rFonts w:hint="eastAsia" w:ascii="方正仿宋_GBK" w:hAnsi="宋体" w:eastAsia="方正仿宋_GBK"/>
          <w:b/>
          <w:bCs/>
          <w:sz w:val="24"/>
          <w:szCs w:val="24"/>
        </w:rPr>
        <w:t>二、技术部分</w:t>
      </w:r>
      <w:bookmarkEnd w:id="195"/>
      <w:bookmarkEnd w:id="196"/>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（一）技术应答</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（二）技术响应偏离表</w:t>
      </w:r>
    </w:p>
    <w:p>
      <w:pPr>
        <w:spacing w:line="440" w:lineRule="exact"/>
        <w:ind w:firstLine="480" w:firstLineChars="200"/>
        <w:rPr>
          <w:rFonts w:ascii="方正仿宋_GBK" w:hAnsi="宋体" w:eastAsia="方正仿宋_GBK"/>
          <w:b/>
          <w:bCs/>
          <w:sz w:val="24"/>
          <w:szCs w:val="24"/>
        </w:rPr>
      </w:pPr>
      <w:bookmarkStart w:id="197" w:name="_Toc6905"/>
      <w:bookmarkStart w:id="198" w:name="_Toc76_WPSOffice_Level2"/>
      <w:r>
        <w:rPr>
          <w:rFonts w:hint="eastAsia" w:ascii="方正仿宋_GBK" w:hAnsi="宋体" w:eastAsia="方正仿宋_GBK"/>
          <w:b/>
          <w:bCs/>
          <w:sz w:val="24"/>
          <w:szCs w:val="24"/>
        </w:rPr>
        <w:t>三、服务部分</w:t>
      </w:r>
      <w:bookmarkEnd w:id="197"/>
      <w:bookmarkEnd w:id="198"/>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（一）服务要求响应情况：交货时间、质量保证期、售后服务条款等。</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（二）服务响应偏离表</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（三）其它优惠承诺</w:t>
      </w:r>
    </w:p>
    <w:p>
      <w:pPr>
        <w:spacing w:line="440" w:lineRule="exact"/>
        <w:ind w:firstLine="480" w:firstLineChars="200"/>
        <w:rPr>
          <w:rFonts w:ascii="方正仿宋_GBK" w:hAnsi="宋体" w:eastAsia="方正仿宋_GBK"/>
          <w:b/>
          <w:bCs/>
          <w:sz w:val="24"/>
          <w:szCs w:val="24"/>
        </w:rPr>
      </w:pPr>
      <w:bookmarkStart w:id="199" w:name="_Toc19880_WPSOffice_Level2"/>
      <w:bookmarkStart w:id="200" w:name="_Toc1271"/>
      <w:r>
        <w:rPr>
          <w:rFonts w:hint="eastAsia" w:ascii="方正仿宋_GBK" w:hAnsi="宋体" w:eastAsia="方正仿宋_GBK"/>
          <w:b/>
          <w:bCs/>
          <w:sz w:val="24"/>
          <w:szCs w:val="24"/>
        </w:rPr>
        <w:t>四、资格条件及其他</w:t>
      </w:r>
      <w:bookmarkEnd w:id="199"/>
      <w:bookmarkEnd w:id="200"/>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（一）营业执照（副本）或事业单位法人证书（副本）复印件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（二）组织机构代码证复印件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（三）法定代表人身份证明书（格式）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（四）法定代表人授权委托书（格式）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（五）2019年度财务状况报告（表）复印件，本年度新成立的公司提供提交响应文件截止时间前一个月的财务状况报告（表）复印件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（六）书面声明（格式）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（七）税务登记证（副本）复印件和社会保险缴纳证明材料</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（八）特定资格条件证书或证明文件</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说明：供应商按“多证合一”登记制度办理营业执照的，组织机构代码证和税务登记证以供应商所提供的法人营业执照（副本）复印件为准</w:t>
      </w:r>
    </w:p>
    <w:p>
      <w:pPr>
        <w:spacing w:line="440" w:lineRule="exact"/>
        <w:ind w:firstLine="480" w:firstLineChars="200"/>
        <w:rPr>
          <w:rFonts w:ascii="方正仿宋_GBK" w:hAnsi="宋体" w:eastAsia="方正仿宋_GBK"/>
          <w:b/>
          <w:bCs/>
          <w:sz w:val="24"/>
          <w:szCs w:val="24"/>
        </w:rPr>
      </w:pPr>
      <w:bookmarkStart w:id="201" w:name="_Toc21855_WPSOffice_Level2"/>
      <w:bookmarkStart w:id="202" w:name="_Toc20378"/>
      <w:r>
        <w:rPr>
          <w:rFonts w:hint="eastAsia" w:ascii="方正仿宋_GBK" w:hAnsi="宋体" w:eastAsia="方正仿宋_GBK"/>
          <w:b/>
          <w:bCs/>
          <w:sz w:val="24"/>
          <w:szCs w:val="24"/>
        </w:rPr>
        <w:t>五、其他应提供的资料</w:t>
      </w:r>
      <w:bookmarkEnd w:id="201"/>
      <w:bookmarkEnd w:id="202"/>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（一）保证金缴纳情况证明文件</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（二）其他资料</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1.保证金缴纳情况证明文件</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2.其他与项目有关的资料</w:t>
      </w:r>
    </w:p>
    <w:p>
      <w:pPr>
        <w:snapToGrid w:val="0"/>
        <w:spacing w:line="360" w:lineRule="auto"/>
        <w:ind w:firstLine="480" w:firstLineChars="200"/>
        <w:rPr>
          <w:rFonts w:ascii="宋体" w:hAnsi="宋体"/>
          <w:sz w:val="24"/>
          <w:szCs w:val="24"/>
          <w:highlight w:val="yellow"/>
          <w:bdr w:val="single" w:color="auto" w:sz="4" w:space="0"/>
        </w:rPr>
      </w:pPr>
      <w:r>
        <w:rPr>
          <w:rFonts w:hint="eastAsia" w:ascii="宋体" w:hAnsi="宋体"/>
          <w:sz w:val="24"/>
          <w:szCs w:val="24"/>
          <w:highlight w:val="yellow"/>
          <w:bdr w:val="single" w:color="auto" w:sz="4" w:space="0"/>
        </w:rPr>
        <w:t>3.疫情期间特别要求</w:t>
      </w:r>
    </w:p>
    <w:p>
      <w:pPr>
        <w:pStyle w:val="5"/>
        <w:spacing w:line="360" w:lineRule="auto"/>
        <w:rPr>
          <w:rFonts w:ascii="方正仿宋_GBK" w:hAnsi="宋体" w:eastAsia="方正仿宋_GBK"/>
          <w:sz w:val="24"/>
          <w:szCs w:val="24"/>
        </w:rPr>
      </w:pPr>
      <w:bookmarkStart w:id="203" w:name="_Toc9156"/>
      <w:bookmarkStart w:id="204" w:name="_Toc495320230"/>
      <w:bookmarkStart w:id="205" w:name="_Toc313008356"/>
      <w:bookmarkStart w:id="206" w:name="_Toc342913419"/>
      <w:bookmarkStart w:id="207" w:name="_Toc27970_WPSOffice_Level2"/>
      <w:bookmarkStart w:id="208" w:name="_Toc15241"/>
      <w:bookmarkStart w:id="209" w:name="_Toc313888360"/>
      <w:bookmarkStart w:id="210" w:name="_Toc12789073"/>
      <w:bookmarkStart w:id="211" w:name="_Toc283382454"/>
      <w:r>
        <w:rPr>
          <w:rFonts w:hint="eastAsia" w:ascii="方正仿宋_GBK" w:hAnsi="宋体" w:eastAsia="方正仿宋_GBK"/>
          <w:sz w:val="24"/>
          <w:szCs w:val="24"/>
        </w:rPr>
        <w:t>一、经济部分</w:t>
      </w:r>
      <w:bookmarkEnd w:id="203"/>
      <w:bookmarkEnd w:id="204"/>
      <w:bookmarkEnd w:id="205"/>
      <w:bookmarkEnd w:id="206"/>
      <w:bookmarkEnd w:id="207"/>
      <w:bookmarkEnd w:id="208"/>
      <w:bookmarkEnd w:id="209"/>
    </w:p>
    <w:bookmarkEnd w:id="210"/>
    <w:bookmarkEnd w:id="211"/>
    <w:p>
      <w:pPr>
        <w:pStyle w:val="5"/>
        <w:spacing w:line="360" w:lineRule="auto"/>
        <w:rPr>
          <w:rFonts w:ascii="方正仿宋_GBK" w:hAnsi="宋体" w:eastAsia="方正仿宋_GBK"/>
          <w:sz w:val="24"/>
          <w:szCs w:val="24"/>
        </w:rPr>
      </w:pPr>
      <w:r>
        <w:rPr>
          <w:rFonts w:hint="eastAsia" w:ascii="方正仿宋_GBK" w:hAnsi="宋体" w:eastAsia="方正仿宋_GBK"/>
          <w:sz w:val="24"/>
          <w:szCs w:val="24"/>
        </w:rPr>
        <w:t>（一）竞争性报价函</w:t>
      </w:r>
    </w:p>
    <w:p>
      <w:pPr>
        <w:tabs>
          <w:tab w:val="left" w:pos="6300"/>
        </w:tabs>
        <w:snapToGrid w:val="0"/>
        <w:spacing w:line="480" w:lineRule="exact"/>
        <w:jc w:val="center"/>
        <w:outlineLvl w:val="0"/>
        <w:rPr>
          <w:rFonts w:ascii="方正仿宋_GBK" w:hAnsi="宋体" w:eastAsia="方正仿宋_GBK"/>
          <w:b/>
          <w:szCs w:val="28"/>
        </w:rPr>
      </w:pPr>
      <w:bookmarkStart w:id="212" w:name="_Toc9231"/>
      <w:r>
        <w:rPr>
          <w:rFonts w:hint="eastAsia" w:ascii="方正仿宋_GBK" w:hAnsi="宋体" w:eastAsia="方正仿宋_GBK"/>
          <w:b/>
          <w:szCs w:val="28"/>
        </w:rPr>
        <w:t>竞争性报价函</w:t>
      </w:r>
      <w:bookmarkEnd w:id="212"/>
    </w:p>
    <w:p>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（重庆城市管理职业学院）</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我方收到____________________________（谈判项目名称）的竞争性谈判文件，经详细研究，决定参加该谈判项目的竞争谈判。</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1.愿意按照竞争性谈判文件中的一切要求，提供本项目的交货及技术服务，以各子项单个数量计算明细报价表合计金额，初始报价为人民币大写：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元。以我公司最后报价为准。</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2.我方现提交的响应文件为：响应文件正本份，副本份，电子文档份。</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3.我方承诺：本次谈判的有效期为90天。</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4.我方完全理解和接受贵方竞争性谈判文件的一切规定和要求及谈判评审办法。</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5.在整个竞争性谈判过程中，我方若有违规行为，接受按照《中华人民共和国政府采购法》和《竞争性谈判文件》之规定给予惩罚。</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6.我方若成为成交供应商，将按照最终谈判结果签订合同，并且严格履行合同义务。本承诺函将成为合同不可分割的一部分，与合同具有同等的法律效力。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7.我方同意按竞争性谈判文件规定，交纳竞争性谈判文件要求的保证金。</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pStyle w:val="5"/>
        <w:spacing w:line="360" w:lineRule="auto"/>
        <w:rPr>
          <w:rFonts w:ascii="方正仿宋_GBK" w:hAnsi="宋体" w:eastAsia="方正仿宋_GBK"/>
          <w:sz w:val="24"/>
          <w:szCs w:val="24"/>
        </w:rPr>
      </w:pPr>
      <w:r>
        <w:rPr>
          <w:rFonts w:hint="eastAsia" w:ascii="方正仿宋_GBK" w:hAnsi="宋体" w:eastAsia="方正仿宋_GBK"/>
          <w:sz w:val="24"/>
          <w:szCs w:val="24"/>
        </w:rPr>
        <w:t>（二）</w:t>
      </w:r>
      <w:bookmarkStart w:id="213" w:name="_Toc342913420"/>
      <w:bookmarkStart w:id="214" w:name="_Toc313888361"/>
      <w:bookmarkStart w:id="215" w:name="_Toc8999"/>
      <w:bookmarkStart w:id="216" w:name="_Toc23853_WPSOffice_Level2"/>
      <w:bookmarkStart w:id="217" w:name="_Toc26125"/>
      <w:bookmarkStart w:id="218" w:name="_Toc495320231"/>
      <w:bookmarkStart w:id="219" w:name="_Toc313008357"/>
      <w:r>
        <w:rPr>
          <w:rFonts w:hint="eastAsia" w:ascii="方正仿宋_GBK" w:hAnsi="宋体" w:eastAsia="方正仿宋_GBK"/>
          <w:sz w:val="24"/>
          <w:szCs w:val="24"/>
        </w:rPr>
        <w:t>明细报价表</w:t>
      </w:r>
    </w:p>
    <w:p>
      <w:pPr>
        <w:spacing w:line="540" w:lineRule="exact"/>
        <w:jc w:val="center"/>
        <w:rPr>
          <w:rFonts w:ascii="方正仿宋_GBK" w:hAnsi="仿宋" w:eastAsia="方正仿宋_GBK" w:cs="仿宋"/>
          <w:sz w:val="24"/>
          <w:szCs w:val="24"/>
        </w:rPr>
      </w:pPr>
      <w:r>
        <w:rPr>
          <w:rFonts w:hint="eastAsia" w:ascii="方正仿宋_GBK" w:hAnsi="仿宋" w:eastAsia="方正仿宋_GBK" w:cs="仿宋"/>
          <w:b/>
          <w:bCs/>
          <w:sz w:val="24"/>
          <w:szCs w:val="24"/>
        </w:rPr>
        <w:t>明细报价表</w:t>
      </w:r>
    </w:p>
    <w:p>
      <w:pPr>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780"/>
        <w:gridCol w:w="1365"/>
        <w:gridCol w:w="1305"/>
        <w:gridCol w:w="1430"/>
        <w:gridCol w:w="1230"/>
        <w:gridCol w:w="1665"/>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10" w:type="dxa"/>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780" w:type="dxa"/>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品名</w:t>
            </w:r>
          </w:p>
        </w:tc>
        <w:tc>
          <w:tcPr>
            <w:tcW w:w="1365" w:type="dxa"/>
            <w:vAlign w:val="center"/>
          </w:tcPr>
          <w:p>
            <w:pPr>
              <w:widowControl/>
              <w:jc w:val="center"/>
              <w:rPr>
                <w:rFonts w:asciiTheme="minorEastAsia" w:hAnsiTheme="minorEastAsia" w:eastAsiaTheme="minorEastAsia" w:cstheme="minorEastAsia"/>
                <w:sz w:val="24"/>
                <w:szCs w:val="24"/>
              </w:rPr>
            </w:pPr>
            <w:r>
              <w:rPr>
                <w:rFonts w:hint="eastAsia" w:ascii="Times New Roman" w:hAnsi="Times New Roman" w:eastAsia="黑体"/>
                <w:kern w:val="0"/>
                <w:sz w:val="24"/>
                <w:szCs w:val="24"/>
              </w:rPr>
              <w:t>规格型号</w:t>
            </w:r>
          </w:p>
        </w:tc>
        <w:tc>
          <w:tcPr>
            <w:tcW w:w="1300" w:type="dxa"/>
            <w:vAlign w:val="center"/>
          </w:tcPr>
          <w:p>
            <w:pPr>
              <w:widowControl/>
              <w:jc w:val="center"/>
              <w:rPr>
                <w:rFonts w:asciiTheme="minorEastAsia" w:hAnsiTheme="minorEastAsia" w:eastAsiaTheme="minorEastAsia" w:cstheme="minorEastAsia"/>
                <w:sz w:val="24"/>
                <w:szCs w:val="24"/>
              </w:rPr>
            </w:pPr>
            <w:r>
              <w:rPr>
                <w:rFonts w:hint="eastAsia" w:ascii="Times New Roman" w:hAnsi="Times New Roman" w:eastAsia="黑体"/>
                <w:kern w:val="0"/>
                <w:sz w:val="24"/>
                <w:szCs w:val="24"/>
              </w:rPr>
              <w:t>图片</w:t>
            </w:r>
          </w:p>
        </w:tc>
        <w:tc>
          <w:tcPr>
            <w:tcW w:w="1430" w:type="dxa"/>
            <w:vAlign w:val="center"/>
          </w:tcPr>
          <w:p>
            <w:pPr>
              <w:widowControl/>
              <w:jc w:val="center"/>
              <w:rPr>
                <w:rFonts w:asciiTheme="minorEastAsia" w:hAnsiTheme="minorEastAsia" w:eastAsiaTheme="minorEastAsia" w:cstheme="minorEastAsia"/>
                <w:sz w:val="24"/>
                <w:szCs w:val="24"/>
              </w:rPr>
            </w:pPr>
            <w:r>
              <w:rPr>
                <w:rFonts w:hint="eastAsia" w:ascii="Times New Roman" w:hAnsi="Times New Roman" w:eastAsia="黑体"/>
                <w:kern w:val="0"/>
                <w:sz w:val="24"/>
                <w:szCs w:val="24"/>
              </w:rPr>
              <w:t>技术参数和功能</w:t>
            </w:r>
            <w:r>
              <w:rPr>
                <w:rFonts w:ascii="Times New Roman" w:hAnsi="Times New Roman" w:eastAsia="黑体"/>
                <w:kern w:val="0"/>
                <w:sz w:val="24"/>
                <w:szCs w:val="24"/>
              </w:rPr>
              <w:t>要求</w:t>
            </w:r>
          </w:p>
        </w:tc>
        <w:tc>
          <w:tcPr>
            <w:tcW w:w="1230" w:type="dxa"/>
          </w:tcPr>
          <w:p>
            <w:pPr>
              <w:widowControl/>
              <w:jc w:val="center"/>
              <w:rPr>
                <w:rFonts w:asciiTheme="minorEastAsia" w:hAnsiTheme="minorEastAsia" w:eastAsiaTheme="minorEastAsia" w:cstheme="minorEastAsia"/>
                <w:sz w:val="24"/>
                <w:szCs w:val="24"/>
              </w:rPr>
            </w:pPr>
            <w:r>
              <w:rPr>
                <w:rFonts w:ascii="Times New Roman" w:hAnsi="Times New Roman" w:eastAsia="黑体"/>
                <w:kern w:val="0"/>
                <w:sz w:val="24"/>
                <w:szCs w:val="24"/>
              </w:rPr>
              <w:t>数量</w:t>
            </w:r>
          </w:p>
        </w:tc>
        <w:tc>
          <w:tcPr>
            <w:tcW w:w="1665" w:type="dxa"/>
          </w:tcPr>
          <w:p>
            <w:pPr>
              <w:widowControl/>
              <w:jc w:val="center"/>
              <w:rPr>
                <w:rFonts w:asciiTheme="minorEastAsia" w:hAnsiTheme="minorEastAsia" w:eastAsiaTheme="minorEastAsia" w:cstheme="minorEastAsia"/>
                <w:sz w:val="24"/>
                <w:szCs w:val="24"/>
              </w:rPr>
            </w:pPr>
            <w:r>
              <w:rPr>
                <w:rFonts w:ascii="Times New Roman" w:hAnsi="Times New Roman" w:eastAsia="黑体"/>
                <w:kern w:val="0"/>
                <w:sz w:val="24"/>
                <w:szCs w:val="24"/>
              </w:rPr>
              <w:t>单价</w:t>
            </w:r>
          </w:p>
        </w:tc>
        <w:tc>
          <w:tcPr>
            <w:tcW w:w="1233" w:type="dxa"/>
          </w:tcPr>
          <w:p>
            <w:pPr>
              <w:widowControl/>
              <w:jc w:val="center"/>
              <w:rPr>
                <w:rFonts w:asciiTheme="minorEastAsia" w:hAnsiTheme="minorEastAsia" w:eastAsiaTheme="minorEastAsia" w:cstheme="minorEastAsia"/>
                <w:sz w:val="24"/>
                <w:szCs w:val="24"/>
              </w:rPr>
            </w:pPr>
            <w:r>
              <w:rPr>
                <w:rFonts w:ascii="Times New Roman" w:hAnsi="Times New Roman" w:eastAsia="黑体"/>
                <w:kern w:val="0"/>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610" w:type="dxa"/>
            <w:vAlign w:val="center"/>
          </w:tcPr>
          <w:p>
            <w:pPr>
              <w:spacing w:line="500" w:lineRule="exact"/>
              <w:jc w:val="center"/>
              <w:rPr>
                <w:rFonts w:asciiTheme="minorEastAsia" w:hAnsiTheme="minorEastAsia" w:eastAsiaTheme="minorEastAsia" w:cstheme="minorEastAsia"/>
                <w:sz w:val="24"/>
                <w:szCs w:val="24"/>
              </w:rPr>
            </w:pPr>
          </w:p>
        </w:tc>
        <w:tc>
          <w:tcPr>
            <w:tcW w:w="780" w:type="dxa"/>
            <w:vAlign w:val="center"/>
          </w:tcPr>
          <w:p>
            <w:pPr>
              <w:spacing w:line="500" w:lineRule="exact"/>
              <w:jc w:val="center"/>
              <w:rPr>
                <w:rFonts w:asciiTheme="minorEastAsia" w:hAnsiTheme="minorEastAsia" w:eastAsiaTheme="minorEastAsia" w:cstheme="minorEastAsia"/>
                <w:sz w:val="24"/>
                <w:szCs w:val="24"/>
              </w:rPr>
            </w:pPr>
          </w:p>
        </w:tc>
        <w:tc>
          <w:tcPr>
            <w:tcW w:w="1365" w:type="dxa"/>
            <w:vAlign w:val="center"/>
          </w:tcPr>
          <w:p>
            <w:pPr>
              <w:pStyle w:val="27"/>
              <w:adjustRightInd w:val="0"/>
              <w:snapToGrid w:val="0"/>
              <w:spacing w:line="580" w:lineRule="exact"/>
              <w:ind w:firstLine="0" w:firstLineChars="0"/>
              <w:rPr>
                <w:rFonts w:asciiTheme="minorEastAsia" w:hAnsiTheme="minorEastAsia" w:eastAsiaTheme="minorEastAsia" w:cstheme="minorEastAsia"/>
                <w:sz w:val="24"/>
                <w:szCs w:val="24"/>
              </w:rPr>
            </w:pPr>
          </w:p>
        </w:tc>
        <w:tc>
          <w:tcPr>
            <w:tcW w:w="1305" w:type="dxa"/>
            <w:vAlign w:val="center"/>
          </w:tcPr>
          <w:p>
            <w:pPr>
              <w:pStyle w:val="27"/>
              <w:adjustRightInd w:val="0"/>
              <w:snapToGrid w:val="0"/>
              <w:spacing w:line="580" w:lineRule="exact"/>
              <w:ind w:firstLine="0" w:firstLineChars="0"/>
              <w:rPr>
                <w:rFonts w:asciiTheme="minorEastAsia" w:hAnsiTheme="minorEastAsia" w:eastAsiaTheme="minorEastAsia" w:cstheme="minorEastAsia"/>
                <w:kern w:val="0"/>
                <w:sz w:val="24"/>
                <w:szCs w:val="24"/>
              </w:rPr>
            </w:pPr>
          </w:p>
        </w:tc>
        <w:tc>
          <w:tcPr>
            <w:tcW w:w="1425" w:type="dxa"/>
            <w:vAlign w:val="center"/>
          </w:tcPr>
          <w:p>
            <w:pPr>
              <w:pStyle w:val="27"/>
              <w:adjustRightInd w:val="0"/>
              <w:snapToGrid w:val="0"/>
              <w:spacing w:line="580" w:lineRule="exact"/>
              <w:ind w:firstLine="0" w:firstLineChars="0"/>
              <w:rPr>
                <w:rFonts w:asciiTheme="minorEastAsia" w:hAnsiTheme="minorEastAsia" w:eastAsiaTheme="minorEastAsia" w:cstheme="minorEastAsia"/>
                <w:kern w:val="0"/>
                <w:sz w:val="24"/>
                <w:szCs w:val="24"/>
              </w:rPr>
            </w:pPr>
          </w:p>
        </w:tc>
        <w:tc>
          <w:tcPr>
            <w:tcW w:w="1230" w:type="dxa"/>
            <w:vAlign w:val="center"/>
          </w:tcPr>
          <w:p>
            <w:pPr>
              <w:spacing w:line="500" w:lineRule="exact"/>
              <w:jc w:val="center"/>
              <w:rPr>
                <w:rFonts w:asciiTheme="minorEastAsia" w:hAnsiTheme="minorEastAsia" w:eastAsiaTheme="minorEastAsia" w:cstheme="minorEastAsia"/>
                <w:sz w:val="24"/>
                <w:szCs w:val="24"/>
              </w:rPr>
            </w:pPr>
          </w:p>
        </w:tc>
        <w:tc>
          <w:tcPr>
            <w:tcW w:w="1665" w:type="dxa"/>
            <w:vAlign w:val="center"/>
          </w:tcPr>
          <w:p>
            <w:pPr>
              <w:pStyle w:val="12"/>
              <w:tabs>
                <w:tab w:val="left" w:pos="4905"/>
              </w:tabs>
              <w:spacing w:line="360" w:lineRule="auto"/>
              <w:ind w:firstLine="480" w:firstLineChars="200"/>
              <w:rPr>
                <w:rFonts w:asciiTheme="minorEastAsia" w:hAnsiTheme="minorEastAsia" w:eastAsiaTheme="minorEastAsia" w:cstheme="minorEastAsia"/>
                <w:sz w:val="24"/>
                <w:szCs w:val="24"/>
              </w:rPr>
            </w:pPr>
          </w:p>
        </w:tc>
        <w:tc>
          <w:tcPr>
            <w:tcW w:w="1233" w:type="dxa"/>
            <w:vAlign w:val="center"/>
          </w:tcPr>
          <w:p>
            <w:pPr>
              <w:spacing w:line="500" w:lineRule="exact"/>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610" w:type="dxa"/>
            <w:vAlign w:val="center"/>
          </w:tcPr>
          <w:p>
            <w:pPr>
              <w:spacing w:line="500" w:lineRule="exact"/>
              <w:jc w:val="center"/>
              <w:rPr>
                <w:rFonts w:asciiTheme="minorEastAsia" w:hAnsiTheme="minorEastAsia" w:eastAsiaTheme="minorEastAsia" w:cstheme="minorEastAsia"/>
                <w:sz w:val="24"/>
                <w:szCs w:val="24"/>
              </w:rPr>
            </w:pPr>
          </w:p>
        </w:tc>
        <w:tc>
          <w:tcPr>
            <w:tcW w:w="780" w:type="dxa"/>
            <w:vAlign w:val="center"/>
          </w:tcPr>
          <w:p>
            <w:pPr>
              <w:spacing w:line="500" w:lineRule="exact"/>
              <w:jc w:val="center"/>
              <w:rPr>
                <w:rFonts w:asciiTheme="minorEastAsia" w:hAnsiTheme="minorEastAsia" w:eastAsiaTheme="minorEastAsia" w:cstheme="minorEastAsia"/>
                <w:sz w:val="24"/>
                <w:szCs w:val="24"/>
              </w:rPr>
            </w:pPr>
          </w:p>
        </w:tc>
        <w:tc>
          <w:tcPr>
            <w:tcW w:w="1365" w:type="dxa"/>
            <w:vAlign w:val="center"/>
          </w:tcPr>
          <w:p>
            <w:pPr>
              <w:pStyle w:val="27"/>
              <w:adjustRightInd w:val="0"/>
              <w:snapToGrid w:val="0"/>
              <w:spacing w:line="580" w:lineRule="exact"/>
              <w:ind w:firstLine="0" w:firstLineChars="0"/>
              <w:rPr>
                <w:rFonts w:asciiTheme="minorEastAsia" w:hAnsiTheme="minorEastAsia" w:eastAsiaTheme="minorEastAsia" w:cstheme="minorEastAsia"/>
                <w:sz w:val="24"/>
                <w:szCs w:val="24"/>
              </w:rPr>
            </w:pPr>
          </w:p>
        </w:tc>
        <w:tc>
          <w:tcPr>
            <w:tcW w:w="1305" w:type="dxa"/>
            <w:vAlign w:val="center"/>
          </w:tcPr>
          <w:p>
            <w:pPr>
              <w:pStyle w:val="27"/>
              <w:adjustRightInd w:val="0"/>
              <w:snapToGrid w:val="0"/>
              <w:spacing w:line="580" w:lineRule="exact"/>
              <w:ind w:firstLine="0" w:firstLineChars="0"/>
              <w:rPr>
                <w:rFonts w:asciiTheme="minorEastAsia" w:hAnsiTheme="minorEastAsia" w:eastAsiaTheme="minorEastAsia" w:cstheme="minorEastAsia"/>
                <w:kern w:val="0"/>
                <w:sz w:val="24"/>
                <w:szCs w:val="24"/>
              </w:rPr>
            </w:pPr>
          </w:p>
        </w:tc>
        <w:tc>
          <w:tcPr>
            <w:tcW w:w="1425" w:type="dxa"/>
            <w:vAlign w:val="center"/>
          </w:tcPr>
          <w:p>
            <w:pPr>
              <w:pStyle w:val="27"/>
              <w:adjustRightInd w:val="0"/>
              <w:snapToGrid w:val="0"/>
              <w:spacing w:line="580" w:lineRule="exact"/>
              <w:ind w:firstLine="0" w:firstLineChars="0"/>
              <w:rPr>
                <w:rFonts w:asciiTheme="minorEastAsia" w:hAnsiTheme="minorEastAsia" w:eastAsiaTheme="minorEastAsia" w:cstheme="minorEastAsia"/>
                <w:kern w:val="0"/>
                <w:sz w:val="24"/>
                <w:szCs w:val="24"/>
              </w:rPr>
            </w:pPr>
          </w:p>
        </w:tc>
        <w:tc>
          <w:tcPr>
            <w:tcW w:w="1230" w:type="dxa"/>
            <w:vAlign w:val="center"/>
          </w:tcPr>
          <w:p>
            <w:pPr>
              <w:spacing w:line="500" w:lineRule="exact"/>
              <w:jc w:val="center"/>
              <w:rPr>
                <w:rFonts w:asciiTheme="minorEastAsia" w:hAnsiTheme="minorEastAsia" w:eastAsiaTheme="minorEastAsia" w:cstheme="minorEastAsia"/>
                <w:sz w:val="24"/>
                <w:szCs w:val="24"/>
              </w:rPr>
            </w:pPr>
          </w:p>
        </w:tc>
        <w:tc>
          <w:tcPr>
            <w:tcW w:w="1665" w:type="dxa"/>
            <w:vAlign w:val="center"/>
          </w:tcPr>
          <w:p>
            <w:pPr>
              <w:pStyle w:val="12"/>
              <w:tabs>
                <w:tab w:val="left" w:pos="4905"/>
              </w:tabs>
              <w:spacing w:line="360" w:lineRule="auto"/>
              <w:ind w:firstLine="480" w:firstLineChars="200"/>
              <w:rPr>
                <w:rFonts w:asciiTheme="minorEastAsia" w:hAnsiTheme="minorEastAsia" w:eastAsiaTheme="minorEastAsia" w:cstheme="minorEastAsia"/>
                <w:sz w:val="24"/>
                <w:szCs w:val="24"/>
              </w:rPr>
            </w:pPr>
          </w:p>
        </w:tc>
        <w:tc>
          <w:tcPr>
            <w:tcW w:w="1233" w:type="dxa"/>
            <w:vAlign w:val="center"/>
          </w:tcPr>
          <w:p>
            <w:pPr>
              <w:spacing w:line="500" w:lineRule="exact"/>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10" w:type="dxa"/>
            <w:vAlign w:val="center"/>
          </w:tcPr>
          <w:p>
            <w:pPr>
              <w:spacing w:line="500" w:lineRule="exact"/>
              <w:jc w:val="center"/>
              <w:rPr>
                <w:rFonts w:asciiTheme="minorEastAsia" w:hAnsiTheme="minorEastAsia" w:eastAsiaTheme="minorEastAsia" w:cstheme="minorEastAsia"/>
                <w:sz w:val="24"/>
                <w:szCs w:val="24"/>
              </w:rPr>
            </w:pPr>
          </w:p>
        </w:tc>
        <w:tc>
          <w:tcPr>
            <w:tcW w:w="780" w:type="dxa"/>
            <w:vAlign w:val="center"/>
          </w:tcPr>
          <w:p>
            <w:pPr>
              <w:spacing w:line="500" w:lineRule="exact"/>
              <w:jc w:val="center"/>
              <w:rPr>
                <w:rFonts w:asciiTheme="minorEastAsia" w:hAnsiTheme="minorEastAsia" w:eastAsiaTheme="minorEastAsia" w:cstheme="minorEastAsia"/>
                <w:sz w:val="24"/>
                <w:szCs w:val="24"/>
              </w:rPr>
            </w:pPr>
          </w:p>
        </w:tc>
        <w:tc>
          <w:tcPr>
            <w:tcW w:w="1365" w:type="dxa"/>
            <w:vAlign w:val="center"/>
          </w:tcPr>
          <w:p>
            <w:pPr>
              <w:pStyle w:val="27"/>
              <w:adjustRightInd w:val="0"/>
              <w:snapToGrid w:val="0"/>
              <w:spacing w:line="580" w:lineRule="exact"/>
              <w:ind w:firstLine="0" w:firstLineChars="0"/>
              <w:rPr>
                <w:rFonts w:asciiTheme="minorEastAsia" w:hAnsiTheme="minorEastAsia" w:eastAsiaTheme="minorEastAsia" w:cstheme="minorEastAsia"/>
                <w:sz w:val="24"/>
                <w:szCs w:val="24"/>
              </w:rPr>
            </w:pPr>
          </w:p>
        </w:tc>
        <w:tc>
          <w:tcPr>
            <w:tcW w:w="1305" w:type="dxa"/>
            <w:vAlign w:val="center"/>
          </w:tcPr>
          <w:p>
            <w:pPr>
              <w:pStyle w:val="27"/>
              <w:adjustRightInd w:val="0"/>
              <w:snapToGrid w:val="0"/>
              <w:spacing w:line="580" w:lineRule="exact"/>
              <w:ind w:firstLine="0" w:firstLineChars="0"/>
              <w:rPr>
                <w:rFonts w:asciiTheme="minorEastAsia" w:hAnsiTheme="minorEastAsia" w:eastAsiaTheme="minorEastAsia" w:cstheme="minorEastAsia"/>
                <w:kern w:val="0"/>
                <w:sz w:val="24"/>
                <w:szCs w:val="24"/>
              </w:rPr>
            </w:pPr>
          </w:p>
        </w:tc>
        <w:tc>
          <w:tcPr>
            <w:tcW w:w="1425" w:type="dxa"/>
            <w:vAlign w:val="center"/>
          </w:tcPr>
          <w:p>
            <w:pPr>
              <w:pStyle w:val="27"/>
              <w:adjustRightInd w:val="0"/>
              <w:snapToGrid w:val="0"/>
              <w:spacing w:line="580" w:lineRule="exact"/>
              <w:ind w:firstLine="0" w:firstLineChars="0"/>
              <w:rPr>
                <w:rFonts w:asciiTheme="minorEastAsia" w:hAnsiTheme="minorEastAsia" w:eastAsiaTheme="minorEastAsia" w:cstheme="minorEastAsia"/>
                <w:kern w:val="0"/>
                <w:sz w:val="24"/>
                <w:szCs w:val="24"/>
              </w:rPr>
            </w:pPr>
          </w:p>
        </w:tc>
        <w:tc>
          <w:tcPr>
            <w:tcW w:w="1230" w:type="dxa"/>
            <w:vAlign w:val="center"/>
          </w:tcPr>
          <w:p>
            <w:pPr>
              <w:spacing w:line="500" w:lineRule="exact"/>
              <w:jc w:val="center"/>
              <w:rPr>
                <w:rFonts w:asciiTheme="minorEastAsia" w:hAnsiTheme="minorEastAsia" w:eastAsiaTheme="minorEastAsia" w:cstheme="minorEastAsia"/>
                <w:sz w:val="24"/>
                <w:szCs w:val="24"/>
              </w:rPr>
            </w:pPr>
          </w:p>
        </w:tc>
        <w:tc>
          <w:tcPr>
            <w:tcW w:w="1665" w:type="dxa"/>
            <w:vAlign w:val="center"/>
          </w:tcPr>
          <w:p>
            <w:pPr>
              <w:pStyle w:val="12"/>
              <w:tabs>
                <w:tab w:val="left" w:pos="4905"/>
              </w:tabs>
              <w:spacing w:line="360" w:lineRule="auto"/>
              <w:ind w:firstLine="480" w:firstLineChars="200"/>
              <w:rPr>
                <w:rFonts w:asciiTheme="minorEastAsia" w:hAnsiTheme="minorEastAsia" w:eastAsiaTheme="minorEastAsia" w:cstheme="minorEastAsia"/>
                <w:sz w:val="24"/>
                <w:szCs w:val="24"/>
              </w:rPr>
            </w:pPr>
          </w:p>
        </w:tc>
        <w:tc>
          <w:tcPr>
            <w:tcW w:w="1233" w:type="dxa"/>
            <w:vAlign w:val="center"/>
          </w:tcPr>
          <w:p>
            <w:pPr>
              <w:spacing w:line="500" w:lineRule="exact"/>
              <w:jc w:val="center"/>
              <w:rPr>
                <w:rFonts w:asciiTheme="minorEastAsia" w:hAnsiTheme="minorEastAsia" w:eastAsiaTheme="minorEastAsia" w:cstheme="minorEastAsia"/>
                <w:sz w:val="24"/>
                <w:szCs w:val="24"/>
              </w:rPr>
            </w:pPr>
          </w:p>
        </w:tc>
      </w:tr>
    </w:tbl>
    <w:p>
      <w:pPr>
        <w:rPr>
          <w:rFonts w:ascii="方正仿宋_GBK" w:hAnsi="宋体" w:eastAsia="方正仿宋_GBK"/>
          <w:sz w:val="24"/>
          <w:szCs w:val="24"/>
        </w:rPr>
      </w:pPr>
    </w:p>
    <w:p>
      <w:pPr>
        <w:rPr>
          <w:rFonts w:ascii="方正仿宋_GBK" w:hAnsi="宋体" w:eastAsia="方正仿宋_GBK"/>
          <w:sz w:val="24"/>
          <w:szCs w:val="24"/>
        </w:rPr>
      </w:pPr>
    </w:p>
    <w:p>
      <w:pPr>
        <w:rPr>
          <w:rFonts w:ascii="方正仿宋_GBK" w:hAnsi="宋体" w:eastAsia="方正仿宋_GBK"/>
          <w:sz w:val="24"/>
          <w:szCs w:val="24"/>
        </w:rPr>
      </w:pPr>
    </w:p>
    <w:p>
      <w:pPr>
        <w:rPr>
          <w:rFonts w:ascii="方正仿宋_GBK" w:hAnsi="宋体" w:eastAsia="方正仿宋_GBK"/>
          <w:sz w:val="24"/>
          <w:szCs w:val="24"/>
        </w:rPr>
      </w:pPr>
    </w:p>
    <w:p>
      <w:pPr>
        <w:rPr>
          <w:rFonts w:ascii="方正仿宋_GBK" w:hAnsi="宋体" w:eastAsia="方正仿宋_GBK"/>
          <w:sz w:val="24"/>
          <w:szCs w:val="24"/>
        </w:rPr>
      </w:pPr>
    </w:p>
    <w:p>
      <w:pPr>
        <w:rPr>
          <w:rFonts w:ascii="方正仿宋_GBK" w:hAnsi="宋体" w:eastAsia="方正仿宋_GBK"/>
          <w:sz w:val="24"/>
          <w:szCs w:val="24"/>
        </w:rPr>
      </w:pPr>
    </w:p>
    <w:p>
      <w:pPr>
        <w:rPr>
          <w:rFonts w:ascii="方正仿宋_GBK" w:hAnsi="宋体" w:eastAsia="方正仿宋_GBK"/>
          <w:sz w:val="24"/>
          <w:szCs w:val="24"/>
        </w:rPr>
      </w:pP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注：1.请供应商完整填写本表。</w:t>
      </w:r>
    </w:p>
    <w:p>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2.该表可扩展，并逐页签字或盖章。</w:t>
      </w:r>
    </w:p>
    <w:p>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3.必须按照第三篇 谈判项目技术需求之二采购清单合理填报，如评审过程中发现超过最高限价，其投标无效。</w:t>
      </w:r>
    </w:p>
    <w:p>
      <w:pPr>
        <w:snapToGrid w:val="0"/>
        <w:spacing w:line="500" w:lineRule="exact"/>
        <w:rPr>
          <w:rFonts w:ascii="方正仿宋_GBK" w:hAnsi="宋体" w:eastAsia="方正仿宋_GBK"/>
          <w:sz w:val="24"/>
          <w:szCs w:val="28"/>
        </w:rPr>
      </w:pPr>
    </w:p>
    <w:p>
      <w:pPr>
        <w:spacing w:line="360" w:lineRule="auto"/>
      </w:pPr>
      <w:r>
        <w:rPr>
          <w:rFonts w:hint="eastAsia" w:ascii="方正仿宋_GBK" w:hAnsi="宋体" w:eastAsia="方正仿宋_GBK"/>
          <w:sz w:val="24"/>
          <w:szCs w:val="24"/>
        </w:rPr>
        <w:t xml:space="preserve">                                                    供应商名称（公章）：</w:t>
      </w:r>
    </w:p>
    <w:p>
      <w:pPr>
        <w:spacing w:line="360" w:lineRule="auto"/>
        <w:ind w:right="480" w:firstLine="6480" w:firstLineChars="2700"/>
        <w:rPr>
          <w:rFonts w:ascii="方正仿宋_GBK" w:hAnsi="宋体" w:eastAsia="方正仿宋_GBK"/>
          <w:sz w:val="24"/>
          <w:szCs w:val="24"/>
        </w:rPr>
      </w:pPr>
      <w:r>
        <w:rPr>
          <w:rFonts w:hint="eastAsia" w:ascii="方正仿宋_GBK" w:hAnsi="宋体" w:eastAsia="方正仿宋_GBK"/>
          <w:sz w:val="24"/>
          <w:szCs w:val="24"/>
        </w:rPr>
        <w:t>年     月    日</w:t>
      </w:r>
    </w:p>
    <w:p>
      <w:pPr>
        <w:rPr>
          <w:rFonts w:ascii="方正仿宋_GBK" w:hAnsi="宋体" w:eastAsia="方正仿宋_GBK"/>
          <w:sz w:val="24"/>
          <w:szCs w:val="24"/>
        </w:rPr>
      </w:pPr>
    </w:p>
    <w:p>
      <w:pPr>
        <w:rPr>
          <w:rFonts w:ascii="方正仿宋_GBK" w:hAnsi="宋体" w:eastAsia="方正仿宋_GBK"/>
          <w:sz w:val="24"/>
          <w:szCs w:val="24"/>
        </w:rPr>
      </w:pPr>
      <w:r>
        <w:rPr>
          <w:rFonts w:hint="eastAsia" w:ascii="方正仿宋_GBK" w:hAnsi="宋体" w:eastAsia="方正仿宋_GBK"/>
          <w:sz w:val="24"/>
          <w:szCs w:val="24"/>
        </w:rPr>
        <w:br w:type="page"/>
      </w:r>
    </w:p>
    <w:p>
      <w:pPr>
        <w:pStyle w:val="5"/>
        <w:spacing w:line="360" w:lineRule="auto"/>
        <w:rPr>
          <w:rFonts w:ascii="方正仿宋_GBK" w:hAnsi="宋体" w:eastAsia="方正仿宋_GBK"/>
          <w:sz w:val="24"/>
          <w:szCs w:val="24"/>
        </w:rPr>
      </w:pPr>
      <w:r>
        <w:rPr>
          <w:rFonts w:hint="eastAsia" w:ascii="方正仿宋_GBK" w:hAnsi="宋体" w:eastAsia="方正仿宋_GBK"/>
          <w:sz w:val="24"/>
          <w:szCs w:val="24"/>
        </w:rPr>
        <w:t>二、技术部分</w:t>
      </w:r>
      <w:bookmarkEnd w:id="213"/>
      <w:bookmarkEnd w:id="214"/>
      <w:bookmarkEnd w:id="215"/>
      <w:bookmarkEnd w:id="216"/>
      <w:bookmarkEnd w:id="217"/>
      <w:bookmarkEnd w:id="218"/>
      <w:bookmarkEnd w:id="219"/>
    </w:p>
    <w:p>
      <w:pPr>
        <w:snapToGrid w:val="0"/>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（一）技术应答（格式自定）</w:t>
      </w:r>
    </w:p>
    <w:p>
      <w:pPr>
        <w:tabs>
          <w:tab w:val="left" w:pos="6300"/>
        </w:tabs>
        <w:snapToGrid w:val="0"/>
        <w:spacing w:line="500" w:lineRule="exact"/>
        <w:ind w:firstLine="570"/>
        <w:rPr>
          <w:rFonts w:ascii="方正仿宋_GBK" w:hAnsi="宋体" w:eastAsia="方正仿宋_GBK"/>
          <w:szCs w:val="24"/>
        </w:rPr>
      </w:pPr>
      <w:r>
        <w:rPr>
          <w:rFonts w:ascii="方正仿宋_GBK" w:hAnsi="宋体" w:eastAsia="方正仿宋_GBK"/>
          <w:szCs w:val="24"/>
        </w:rPr>
        <w:br w:type="page"/>
      </w:r>
      <w:r>
        <w:rPr>
          <w:rFonts w:hint="eastAsia" w:ascii="方正仿宋_GBK" w:hAnsi="宋体" w:eastAsia="方正仿宋_GBK"/>
          <w:sz w:val="24"/>
          <w:szCs w:val="24"/>
        </w:rPr>
        <w:t>（二）技术响应偏离表</w:t>
      </w:r>
    </w:p>
    <w:p>
      <w:pPr>
        <w:pStyle w:val="11"/>
        <w:tabs>
          <w:tab w:val="left" w:pos="6300"/>
        </w:tabs>
        <w:snapToGrid w:val="0"/>
        <w:spacing w:line="500" w:lineRule="exact"/>
        <w:ind w:firstLine="480" w:firstLineChars="200"/>
        <w:outlineLvl w:val="0"/>
        <w:rPr>
          <w:rFonts w:ascii="方正仿宋_GBK" w:hAnsi="宋体" w:eastAsia="方正仿宋_GBK"/>
          <w:sz w:val="24"/>
        </w:rPr>
      </w:pPr>
      <w:bookmarkStart w:id="220" w:name="_Toc3577"/>
      <w:r>
        <w:rPr>
          <w:rFonts w:hint="eastAsia" w:ascii="方正仿宋_GBK" w:hAnsi="宋体" w:eastAsia="方正仿宋_GBK"/>
          <w:sz w:val="24"/>
        </w:rPr>
        <w:t>项目名称：</w:t>
      </w:r>
      <w:bookmarkEnd w:id="220"/>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spacing w:line="500" w:lineRule="exact"/>
              <w:jc w:val="center"/>
              <w:outlineLvl w:val="0"/>
              <w:rPr>
                <w:rFonts w:ascii="方正仿宋_GBK" w:hAnsi="宋体" w:eastAsia="方正仿宋_GBK"/>
                <w:sz w:val="21"/>
                <w:szCs w:val="21"/>
              </w:rPr>
            </w:pPr>
            <w:bookmarkStart w:id="221" w:name="_Toc21144"/>
            <w:r>
              <w:rPr>
                <w:rFonts w:hint="eastAsia" w:ascii="方正仿宋_GBK" w:hAnsi="宋体" w:eastAsia="方正仿宋_GBK"/>
                <w:sz w:val="21"/>
                <w:szCs w:val="21"/>
              </w:rPr>
              <w:t>序号</w:t>
            </w:r>
            <w:bookmarkEnd w:id="221"/>
          </w:p>
        </w:tc>
        <w:tc>
          <w:tcPr>
            <w:tcW w:w="2658" w:type="dxa"/>
            <w:vAlign w:val="center"/>
          </w:tcPr>
          <w:p>
            <w:pPr>
              <w:tabs>
                <w:tab w:val="left" w:pos="6300"/>
              </w:tabs>
              <w:snapToGrid w:val="0"/>
              <w:spacing w:line="500" w:lineRule="exact"/>
              <w:jc w:val="center"/>
              <w:outlineLvl w:val="0"/>
              <w:rPr>
                <w:rFonts w:ascii="方正仿宋_GBK" w:hAnsi="宋体" w:eastAsia="方正仿宋_GBK"/>
                <w:sz w:val="21"/>
                <w:szCs w:val="21"/>
              </w:rPr>
            </w:pPr>
            <w:bookmarkStart w:id="222" w:name="_Toc30745"/>
            <w:r>
              <w:rPr>
                <w:rFonts w:hint="eastAsia" w:ascii="方正仿宋_GBK" w:hAnsi="宋体" w:eastAsia="方正仿宋_GBK"/>
                <w:sz w:val="21"/>
                <w:szCs w:val="21"/>
              </w:rPr>
              <w:t>采购需求</w:t>
            </w:r>
            <w:bookmarkEnd w:id="222"/>
          </w:p>
        </w:tc>
        <w:tc>
          <w:tcPr>
            <w:tcW w:w="2759" w:type="dxa"/>
            <w:vAlign w:val="center"/>
          </w:tcPr>
          <w:p>
            <w:pPr>
              <w:tabs>
                <w:tab w:val="left" w:pos="6300"/>
              </w:tabs>
              <w:snapToGrid w:val="0"/>
              <w:spacing w:line="500" w:lineRule="exact"/>
              <w:jc w:val="center"/>
              <w:outlineLvl w:val="0"/>
              <w:rPr>
                <w:rFonts w:ascii="方正仿宋_GBK" w:hAnsi="宋体" w:eastAsia="方正仿宋_GBK"/>
                <w:sz w:val="21"/>
                <w:szCs w:val="21"/>
              </w:rPr>
            </w:pPr>
            <w:bookmarkStart w:id="223" w:name="_Toc32304"/>
            <w:r>
              <w:rPr>
                <w:rFonts w:hint="eastAsia" w:ascii="方正仿宋_GBK" w:hAnsi="宋体" w:eastAsia="方正仿宋_GBK"/>
                <w:sz w:val="21"/>
                <w:szCs w:val="21"/>
              </w:rPr>
              <w:t>响应情况</w:t>
            </w:r>
            <w:bookmarkEnd w:id="223"/>
          </w:p>
        </w:tc>
        <w:tc>
          <w:tcPr>
            <w:tcW w:w="2067" w:type="dxa"/>
            <w:vAlign w:val="center"/>
          </w:tcPr>
          <w:p>
            <w:pPr>
              <w:tabs>
                <w:tab w:val="left" w:pos="6300"/>
              </w:tabs>
              <w:snapToGrid w:val="0"/>
              <w:spacing w:line="500" w:lineRule="exact"/>
              <w:jc w:val="center"/>
              <w:outlineLvl w:val="0"/>
              <w:rPr>
                <w:rFonts w:ascii="方正仿宋_GBK" w:hAnsi="宋体" w:eastAsia="方正仿宋_GBK"/>
                <w:sz w:val="21"/>
                <w:szCs w:val="21"/>
              </w:rPr>
            </w:pPr>
            <w:bookmarkStart w:id="224" w:name="_Toc22025"/>
            <w:r>
              <w:rPr>
                <w:rFonts w:hint="eastAsia" w:ascii="方正仿宋_GBK" w:hAnsi="宋体" w:eastAsia="方正仿宋_GBK"/>
                <w:sz w:val="21"/>
                <w:szCs w:val="21"/>
              </w:rPr>
              <w:t>差异说明</w:t>
            </w:r>
            <w:bookmarkEnd w:id="2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rPr>
                <w:rFonts w:ascii="方正仿宋_GBK" w:hAnsi="宋体" w:eastAsia="方正仿宋_GBK"/>
                <w:sz w:val="21"/>
                <w:szCs w:val="21"/>
              </w:rPr>
            </w:pPr>
          </w:p>
        </w:tc>
        <w:tc>
          <w:tcPr>
            <w:tcW w:w="2658" w:type="dxa"/>
            <w:vAlign w:val="center"/>
          </w:tcPr>
          <w:p>
            <w:pPr>
              <w:tabs>
                <w:tab w:val="left" w:pos="6300"/>
              </w:tabs>
              <w:snapToGrid w:val="0"/>
              <w:spacing w:line="500" w:lineRule="exact"/>
              <w:jc w:val="center"/>
              <w:rPr>
                <w:rFonts w:ascii="方正仿宋_GBK" w:hAnsi="宋体" w:eastAsia="方正仿宋_GBK"/>
                <w:sz w:val="21"/>
                <w:szCs w:val="21"/>
              </w:rPr>
            </w:pPr>
          </w:p>
        </w:tc>
        <w:tc>
          <w:tcPr>
            <w:tcW w:w="2759" w:type="dxa"/>
            <w:vAlign w:val="center"/>
          </w:tcPr>
          <w:p>
            <w:pPr>
              <w:tabs>
                <w:tab w:val="left" w:pos="6300"/>
              </w:tabs>
              <w:snapToGrid w:val="0"/>
              <w:spacing w:line="500" w:lineRule="exact"/>
              <w:jc w:val="center"/>
              <w:rPr>
                <w:rFonts w:ascii="方正仿宋_GBK" w:hAnsi="宋体" w:eastAsia="方正仿宋_GBK"/>
                <w:sz w:val="21"/>
                <w:szCs w:val="21"/>
              </w:rPr>
            </w:pPr>
          </w:p>
        </w:tc>
        <w:tc>
          <w:tcPr>
            <w:tcW w:w="2067" w:type="dxa"/>
            <w:vAlign w:val="center"/>
          </w:tcPr>
          <w:p>
            <w:pPr>
              <w:tabs>
                <w:tab w:val="left" w:pos="6300"/>
              </w:tabs>
              <w:snapToGrid w:val="0"/>
              <w:spacing w:line="500" w:lineRule="exact"/>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rPr>
                <w:rFonts w:ascii="方正仿宋_GBK" w:hAnsi="宋体" w:eastAsia="方正仿宋_GBK"/>
                <w:sz w:val="21"/>
                <w:szCs w:val="21"/>
              </w:rPr>
            </w:pPr>
          </w:p>
        </w:tc>
        <w:tc>
          <w:tcPr>
            <w:tcW w:w="2658" w:type="dxa"/>
            <w:vAlign w:val="center"/>
          </w:tcPr>
          <w:p>
            <w:pPr>
              <w:tabs>
                <w:tab w:val="left" w:pos="6300"/>
              </w:tabs>
              <w:snapToGrid w:val="0"/>
              <w:spacing w:line="500" w:lineRule="exact"/>
              <w:jc w:val="center"/>
              <w:rPr>
                <w:rFonts w:ascii="方正仿宋_GBK" w:hAnsi="宋体" w:eastAsia="方正仿宋_GBK"/>
                <w:sz w:val="21"/>
                <w:szCs w:val="21"/>
              </w:rPr>
            </w:pPr>
          </w:p>
        </w:tc>
        <w:tc>
          <w:tcPr>
            <w:tcW w:w="2759" w:type="dxa"/>
            <w:vAlign w:val="center"/>
          </w:tcPr>
          <w:p>
            <w:pPr>
              <w:tabs>
                <w:tab w:val="left" w:pos="6300"/>
              </w:tabs>
              <w:snapToGrid w:val="0"/>
              <w:spacing w:line="500" w:lineRule="exact"/>
              <w:jc w:val="center"/>
              <w:rPr>
                <w:rFonts w:ascii="方正仿宋_GBK" w:hAnsi="宋体" w:eastAsia="方正仿宋_GBK"/>
                <w:sz w:val="21"/>
                <w:szCs w:val="21"/>
              </w:rPr>
            </w:pPr>
          </w:p>
        </w:tc>
        <w:tc>
          <w:tcPr>
            <w:tcW w:w="2067" w:type="dxa"/>
            <w:vAlign w:val="center"/>
          </w:tcPr>
          <w:p>
            <w:pPr>
              <w:tabs>
                <w:tab w:val="left" w:pos="6300"/>
              </w:tabs>
              <w:snapToGrid w:val="0"/>
              <w:spacing w:line="500" w:lineRule="exact"/>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rPr>
                <w:rFonts w:ascii="方正仿宋_GBK" w:hAnsi="宋体" w:eastAsia="方正仿宋_GBK"/>
                <w:sz w:val="21"/>
                <w:szCs w:val="21"/>
              </w:rPr>
            </w:pPr>
          </w:p>
        </w:tc>
        <w:tc>
          <w:tcPr>
            <w:tcW w:w="2658" w:type="dxa"/>
            <w:vAlign w:val="center"/>
          </w:tcPr>
          <w:p>
            <w:pPr>
              <w:tabs>
                <w:tab w:val="left" w:pos="6300"/>
              </w:tabs>
              <w:snapToGrid w:val="0"/>
              <w:spacing w:line="500" w:lineRule="exact"/>
              <w:jc w:val="center"/>
              <w:rPr>
                <w:rFonts w:ascii="方正仿宋_GBK" w:hAnsi="宋体" w:eastAsia="方正仿宋_GBK"/>
                <w:sz w:val="21"/>
                <w:szCs w:val="21"/>
              </w:rPr>
            </w:pPr>
          </w:p>
        </w:tc>
        <w:tc>
          <w:tcPr>
            <w:tcW w:w="2759" w:type="dxa"/>
            <w:vAlign w:val="center"/>
          </w:tcPr>
          <w:p>
            <w:pPr>
              <w:tabs>
                <w:tab w:val="left" w:pos="6300"/>
              </w:tabs>
              <w:snapToGrid w:val="0"/>
              <w:spacing w:line="500" w:lineRule="exact"/>
              <w:jc w:val="center"/>
              <w:rPr>
                <w:rFonts w:ascii="方正仿宋_GBK" w:hAnsi="宋体" w:eastAsia="方正仿宋_GBK"/>
                <w:sz w:val="21"/>
                <w:szCs w:val="21"/>
              </w:rPr>
            </w:pPr>
          </w:p>
        </w:tc>
        <w:tc>
          <w:tcPr>
            <w:tcW w:w="2067" w:type="dxa"/>
            <w:vAlign w:val="center"/>
          </w:tcPr>
          <w:p>
            <w:pPr>
              <w:tabs>
                <w:tab w:val="left" w:pos="6300"/>
              </w:tabs>
              <w:snapToGrid w:val="0"/>
              <w:spacing w:line="500" w:lineRule="exact"/>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rPr>
                <w:rFonts w:ascii="方正仿宋_GBK" w:hAnsi="宋体" w:eastAsia="方正仿宋_GBK"/>
                <w:sz w:val="21"/>
                <w:szCs w:val="21"/>
              </w:rPr>
            </w:pPr>
          </w:p>
        </w:tc>
        <w:tc>
          <w:tcPr>
            <w:tcW w:w="2658" w:type="dxa"/>
            <w:vAlign w:val="center"/>
          </w:tcPr>
          <w:p>
            <w:pPr>
              <w:tabs>
                <w:tab w:val="left" w:pos="6300"/>
              </w:tabs>
              <w:snapToGrid w:val="0"/>
              <w:spacing w:line="500" w:lineRule="exact"/>
              <w:jc w:val="center"/>
              <w:rPr>
                <w:rFonts w:ascii="方正仿宋_GBK" w:hAnsi="宋体" w:eastAsia="方正仿宋_GBK"/>
                <w:sz w:val="21"/>
                <w:szCs w:val="21"/>
              </w:rPr>
            </w:pPr>
          </w:p>
        </w:tc>
        <w:tc>
          <w:tcPr>
            <w:tcW w:w="2759" w:type="dxa"/>
            <w:vAlign w:val="center"/>
          </w:tcPr>
          <w:p>
            <w:pPr>
              <w:tabs>
                <w:tab w:val="left" w:pos="6300"/>
              </w:tabs>
              <w:snapToGrid w:val="0"/>
              <w:spacing w:line="500" w:lineRule="exact"/>
              <w:jc w:val="center"/>
              <w:rPr>
                <w:rFonts w:ascii="方正仿宋_GBK" w:hAnsi="宋体" w:eastAsia="方正仿宋_GBK"/>
                <w:sz w:val="21"/>
                <w:szCs w:val="21"/>
              </w:rPr>
            </w:pPr>
          </w:p>
        </w:tc>
        <w:tc>
          <w:tcPr>
            <w:tcW w:w="2067" w:type="dxa"/>
            <w:vAlign w:val="center"/>
          </w:tcPr>
          <w:p>
            <w:pPr>
              <w:tabs>
                <w:tab w:val="left" w:pos="6300"/>
              </w:tabs>
              <w:snapToGrid w:val="0"/>
              <w:spacing w:line="500" w:lineRule="exact"/>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rPr>
                <w:rFonts w:ascii="方正仿宋_GBK" w:hAnsi="宋体" w:eastAsia="方正仿宋_GBK"/>
                <w:sz w:val="21"/>
                <w:szCs w:val="21"/>
              </w:rPr>
            </w:pPr>
          </w:p>
        </w:tc>
        <w:tc>
          <w:tcPr>
            <w:tcW w:w="2658" w:type="dxa"/>
            <w:vAlign w:val="center"/>
          </w:tcPr>
          <w:p>
            <w:pPr>
              <w:tabs>
                <w:tab w:val="left" w:pos="6300"/>
              </w:tabs>
              <w:snapToGrid w:val="0"/>
              <w:spacing w:line="500" w:lineRule="exact"/>
              <w:jc w:val="center"/>
              <w:rPr>
                <w:rFonts w:ascii="方正仿宋_GBK" w:hAnsi="宋体" w:eastAsia="方正仿宋_GBK"/>
                <w:sz w:val="21"/>
                <w:szCs w:val="21"/>
              </w:rPr>
            </w:pPr>
          </w:p>
        </w:tc>
        <w:tc>
          <w:tcPr>
            <w:tcW w:w="2759" w:type="dxa"/>
            <w:vAlign w:val="center"/>
          </w:tcPr>
          <w:p>
            <w:pPr>
              <w:tabs>
                <w:tab w:val="left" w:pos="6300"/>
              </w:tabs>
              <w:snapToGrid w:val="0"/>
              <w:spacing w:line="500" w:lineRule="exact"/>
              <w:jc w:val="center"/>
              <w:rPr>
                <w:rFonts w:ascii="方正仿宋_GBK" w:hAnsi="宋体" w:eastAsia="方正仿宋_GBK"/>
                <w:sz w:val="21"/>
                <w:szCs w:val="21"/>
              </w:rPr>
            </w:pPr>
          </w:p>
        </w:tc>
        <w:tc>
          <w:tcPr>
            <w:tcW w:w="2067" w:type="dxa"/>
            <w:vAlign w:val="center"/>
          </w:tcPr>
          <w:p>
            <w:pPr>
              <w:tabs>
                <w:tab w:val="left" w:pos="6300"/>
              </w:tabs>
              <w:snapToGrid w:val="0"/>
              <w:spacing w:line="500" w:lineRule="exact"/>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rPr>
                <w:rFonts w:ascii="方正仿宋_GBK" w:hAnsi="宋体" w:eastAsia="方正仿宋_GBK"/>
                <w:sz w:val="21"/>
                <w:szCs w:val="21"/>
              </w:rPr>
            </w:pPr>
          </w:p>
        </w:tc>
        <w:tc>
          <w:tcPr>
            <w:tcW w:w="2658" w:type="dxa"/>
            <w:vAlign w:val="center"/>
          </w:tcPr>
          <w:p>
            <w:pPr>
              <w:tabs>
                <w:tab w:val="left" w:pos="6300"/>
              </w:tabs>
              <w:snapToGrid w:val="0"/>
              <w:spacing w:line="500" w:lineRule="exact"/>
              <w:jc w:val="center"/>
              <w:rPr>
                <w:rFonts w:ascii="方正仿宋_GBK" w:hAnsi="宋体" w:eastAsia="方正仿宋_GBK"/>
                <w:sz w:val="21"/>
                <w:szCs w:val="21"/>
              </w:rPr>
            </w:pPr>
          </w:p>
        </w:tc>
        <w:tc>
          <w:tcPr>
            <w:tcW w:w="2759" w:type="dxa"/>
            <w:vAlign w:val="center"/>
          </w:tcPr>
          <w:p>
            <w:pPr>
              <w:tabs>
                <w:tab w:val="left" w:pos="6300"/>
              </w:tabs>
              <w:snapToGrid w:val="0"/>
              <w:spacing w:line="500" w:lineRule="exact"/>
              <w:jc w:val="center"/>
              <w:rPr>
                <w:rFonts w:ascii="方正仿宋_GBK" w:hAnsi="宋体" w:eastAsia="方正仿宋_GBK"/>
                <w:sz w:val="21"/>
                <w:szCs w:val="21"/>
              </w:rPr>
            </w:pPr>
          </w:p>
        </w:tc>
        <w:tc>
          <w:tcPr>
            <w:tcW w:w="2067" w:type="dxa"/>
            <w:vAlign w:val="center"/>
          </w:tcPr>
          <w:p>
            <w:pPr>
              <w:tabs>
                <w:tab w:val="left" w:pos="6300"/>
              </w:tabs>
              <w:snapToGrid w:val="0"/>
              <w:spacing w:line="500" w:lineRule="exact"/>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rPr>
                <w:rFonts w:ascii="方正仿宋_GBK" w:hAnsi="宋体" w:eastAsia="方正仿宋_GBK"/>
                <w:sz w:val="21"/>
                <w:szCs w:val="21"/>
              </w:rPr>
            </w:pPr>
          </w:p>
        </w:tc>
        <w:tc>
          <w:tcPr>
            <w:tcW w:w="2658" w:type="dxa"/>
            <w:vAlign w:val="center"/>
          </w:tcPr>
          <w:p>
            <w:pPr>
              <w:tabs>
                <w:tab w:val="left" w:pos="6300"/>
              </w:tabs>
              <w:snapToGrid w:val="0"/>
              <w:spacing w:line="500" w:lineRule="exact"/>
              <w:jc w:val="center"/>
              <w:rPr>
                <w:rFonts w:ascii="方正仿宋_GBK" w:hAnsi="宋体" w:eastAsia="方正仿宋_GBK"/>
                <w:sz w:val="21"/>
                <w:szCs w:val="21"/>
              </w:rPr>
            </w:pPr>
          </w:p>
        </w:tc>
        <w:tc>
          <w:tcPr>
            <w:tcW w:w="2759" w:type="dxa"/>
            <w:vAlign w:val="center"/>
          </w:tcPr>
          <w:p>
            <w:pPr>
              <w:tabs>
                <w:tab w:val="left" w:pos="6300"/>
              </w:tabs>
              <w:snapToGrid w:val="0"/>
              <w:spacing w:line="500" w:lineRule="exact"/>
              <w:jc w:val="center"/>
              <w:rPr>
                <w:rFonts w:ascii="方正仿宋_GBK" w:hAnsi="宋体" w:eastAsia="方正仿宋_GBK"/>
                <w:sz w:val="21"/>
                <w:szCs w:val="21"/>
              </w:rPr>
            </w:pPr>
          </w:p>
        </w:tc>
        <w:tc>
          <w:tcPr>
            <w:tcW w:w="2067" w:type="dxa"/>
            <w:vAlign w:val="center"/>
          </w:tcPr>
          <w:p>
            <w:pPr>
              <w:tabs>
                <w:tab w:val="left" w:pos="6300"/>
              </w:tabs>
              <w:snapToGrid w:val="0"/>
              <w:spacing w:line="500" w:lineRule="exact"/>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rPr>
                <w:rFonts w:ascii="方正仿宋_GBK" w:hAnsi="宋体" w:eastAsia="方正仿宋_GBK"/>
                <w:sz w:val="21"/>
                <w:szCs w:val="21"/>
              </w:rPr>
            </w:pPr>
          </w:p>
        </w:tc>
        <w:tc>
          <w:tcPr>
            <w:tcW w:w="2658" w:type="dxa"/>
            <w:vAlign w:val="center"/>
          </w:tcPr>
          <w:p>
            <w:pPr>
              <w:tabs>
                <w:tab w:val="left" w:pos="6300"/>
              </w:tabs>
              <w:snapToGrid w:val="0"/>
              <w:spacing w:line="500" w:lineRule="exact"/>
              <w:jc w:val="center"/>
              <w:rPr>
                <w:rFonts w:ascii="方正仿宋_GBK" w:hAnsi="宋体" w:eastAsia="方正仿宋_GBK"/>
                <w:sz w:val="21"/>
                <w:szCs w:val="21"/>
              </w:rPr>
            </w:pPr>
          </w:p>
        </w:tc>
        <w:tc>
          <w:tcPr>
            <w:tcW w:w="2759" w:type="dxa"/>
            <w:vAlign w:val="center"/>
          </w:tcPr>
          <w:p>
            <w:pPr>
              <w:tabs>
                <w:tab w:val="left" w:pos="6300"/>
              </w:tabs>
              <w:snapToGrid w:val="0"/>
              <w:spacing w:line="500" w:lineRule="exact"/>
              <w:jc w:val="center"/>
              <w:rPr>
                <w:rFonts w:ascii="方正仿宋_GBK" w:hAnsi="宋体" w:eastAsia="方正仿宋_GBK"/>
                <w:sz w:val="21"/>
                <w:szCs w:val="21"/>
              </w:rPr>
            </w:pPr>
          </w:p>
        </w:tc>
        <w:tc>
          <w:tcPr>
            <w:tcW w:w="2067" w:type="dxa"/>
            <w:vAlign w:val="center"/>
          </w:tcPr>
          <w:p>
            <w:pPr>
              <w:tabs>
                <w:tab w:val="left" w:pos="6300"/>
              </w:tabs>
              <w:snapToGrid w:val="0"/>
              <w:spacing w:line="500" w:lineRule="exact"/>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rPr>
                <w:rFonts w:ascii="方正仿宋_GBK" w:hAnsi="宋体" w:eastAsia="方正仿宋_GBK"/>
                <w:sz w:val="21"/>
                <w:szCs w:val="21"/>
              </w:rPr>
            </w:pPr>
          </w:p>
        </w:tc>
        <w:tc>
          <w:tcPr>
            <w:tcW w:w="2658" w:type="dxa"/>
            <w:vAlign w:val="center"/>
          </w:tcPr>
          <w:p>
            <w:pPr>
              <w:tabs>
                <w:tab w:val="left" w:pos="6300"/>
              </w:tabs>
              <w:snapToGrid w:val="0"/>
              <w:spacing w:line="500" w:lineRule="exact"/>
              <w:jc w:val="center"/>
              <w:rPr>
                <w:rFonts w:ascii="方正仿宋_GBK" w:hAnsi="宋体" w:eastAsia="方正仿宋_GBK"/>
                <w:sz w:val="21"/>
                <w:szCs w:val="21"/>
              </w:rPr>
            </w:pPr>
          </w:p>
        </w:tc>
        <w:tc>
          <w:tcPr>
            <w:tcW w:w="2759" w:type="dxa"/>
            <w:vAlign w:val="center"/>
          </w:tcPr>
          <w:p>
            <w:pPr>
              <w:tabs>
                <w:tab w:val="left" w:pos="6300"/>
              </w:tabs>
              <w:snapToGrid w:val="0"/>
              <w:spacing w:line="500" w:lineRule="exact"/>
              <w:jc w:val="center"/>
              <w:rPr>
                <w:rFonts w:ascii="方正仿宋_GBK" w:hAnsi="宋体" w:eastAsia="方正仿宋_GBK"/>
                <w:sz w:val="21"/>
                <w:szCs w:val="21"/>
              </w:rPr>
            </w:pPr>
          </w:p>
        </w:tc>
        <w:tc>
          <w:tcPr>
            <w:tcW w:w="2067" w:type="dxa"/>
            <w:vAlign w:val="center"/>
          </w:tcPr>
          <w:p>
            <w:pPr>
              <w:tabs>
                <w:tab w:val="left" w:pos="6300"/>
              </w:tabs>
              <w:snapToGrid w:val="0"/>
              <w:spacing w:line="500" w:lineRule="exact"/>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rPr>
                <w:rFonts w:ascii="方正仿宋_GBK" w:hAnsi="宋体" w:eastAsia="方正仿宋_GBK"/>
                <w:sz w:val="21"/>
                <w:szCs w:val="21"/>
              </w:rPr>
            </w:pPr>
          </w:p>
        </w:tc>
        <w:tc>
          <w:tcPr>
            <w:tcW w:w="2658" w:type="dxa"/>
            <w:vAlign w:val="center"/>
          </w:tcPr>
          <w:p>
            <w:pPr>
              <w:tabs>
                <w:tab w:val="left" w:pos="6300"/>
              </w:tabs>
              <w:snapToGrid w:val="0"/>
              <w:spacing w:line="500" w:lineRule="exact"/>
              <w:jc w:val="center"/>
              <w:rPr>
                <w:rFonts w:ascii="方正仿宋_GBK" w:hAnsi="宋体" w:eastAsia="方正仿宋_GBK"/>
                <w:sz w:val="21"/>
                <w:szCs w:val="21"/>
              </w:rPr>
            </w:pPr>
          </w:p>
        </w:tc>
        <w:tc>
          <w:tcPr>
            <w:tcW w:w="2759" w:type="dxa"/>
            <w:vAlign w:val="center"/>
          </w:tcPr>
          <w:p>
            <w:pPr>
              <w:tabs>
                <w:tab w:val="left" w:pos="6300"/>
              </w:tabs>
              <w:snapToGrid w:val="0"/>
              <w:spacing w:line="500" w:lineRule="exact"/>
              <w:jc w:val="center"/>
              <w:rPr>
                <w:rFonts w:ascii="方正仿宋_GBK" w:hAnsi="宋体" w:eastAsia="方正仿宋_GBK"/>
                <w:sz w:val="21"/>
                <w:szCs w:val="21"/>
              </w:rPr>
            </w:pPr>
          </w:p>
        </w:tc>
        <w:tc>
          <w:tcPr>
            <w:tcW w:w="2067" w:type="dxa"/>
            <w:vAlign w:val="center"/>
          </w:tcPr>
          <w:p>
            <w:pPr>
              <w:tabs>
                <w:tab w:val="left" w:pos="6300"/>
              </w:tabs>
              <w:snapToGrid w:val="0"/>
              <w:spacing w:line="500" w:lineRule="exact"/>
              <w:jc w:val="center"/>
              <w:rPr>
                <w:rFonts w:ascii="方正仿宋_GBK" w:hAnsi="宋体" w:eastAsia="方正仿宋_GBK"/>
                <w:sz w:val="21"/>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pPr>
        <w:spacing w:line="500" w:lineRule="exact"/>
        <w:rPr>
          <w:rFonts w:ascii="方正仿宋_GBK" w:hAnsi="宋体" w:eastAsia="方正仿宋_GBK"/>
          <w:sz w:val="24"/>
          <w:szCs w:val="28"/>
        </w:rPr>
      </w:pP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.本表即为对本项目“第三篇  谈判项目技术需求”中所列技术要求进行比较和响应；</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2.该表必须按照竞争性谈判要求逐条如实填写，根据响应情况在“差异说明”项填写正偏离或负偏离及原因，完全符合的填写“无差异”；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4.可附相关技术支撑材料。（格式自定）</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rPr>
        <w:t>5.若“响应情况”栏中仅填写“无偏离”或“有偏离”等内容而未作实质性参数描述，该供应商将</w:t>
      </w:r>
      <w:r>
        <w:rPr>
          <w:rFonts w:hint="eastAsia" w:ascii="方正仿宋_GBK" w:hAnsi="宋体" w:eastAsia="方正仿宋_GBK"/>
          <w:sz w:val="24"/>
          <w:szCs w:val="24"/>
        </w:rPr>
        <w:t>失去成为成交供应商的资格，仅保留其合格供应商的身份。</w:t>
      </w:r>
    </w:p>
    <w:p>
      <w:pPr>
        <w:pStyle w:val="5"/>
        <w:spacing w:line="360" w:lineRule="auto"/>
        <w:rPr>
          <w:rFonts w:ascii="方正仿宋_GBK" w:hAnsi="宋体" w:eastAsia="方正仿宋_GBK"/>
          <w:sz w:val="24"/>
          <w:szCs w:val="24"/>
        </w:rPr>
      </w:pPr>
      <w:r>
        <w:rPr>
          <w:rFonts w:ascii="方正仿宋_GBK" w:eastAsia="方正仿宋_GBK"/>
          <w:b w:val="0"/>
        </w:rPr>
        <w:br w:type="page"/>
      </w:r>
      <w:bookmarkStart w:id="225" w:name="_Toc13972"/>
      <w:bookmarkStart w:id="226" w:name="_Toc22690_WPSOffice_Level2"/>
      <w:bookmarkStart w:id="227" w:name="_Toc342913421"/>
      <w:bookmarkStart w:id="228" w:name="_Toc313888362"/>
      <w:bookmarkStart w:id="229" w:name="_Toc313008358"/>
      <w:bookmarkStart w:id="230" w:name="_Toc495320232"/>
      <w:bookmarkStart w:id="231" w:name="_Toc32059"/>
      <w:r>
        <w:rPr>
          <w:rFonts w:hint="eastAsia" w:ascii="方正仿宋_GBK" w:hAnsi="宋体" w:eastAsia="方正仿宋_GBK"/>
          <w:sz w:val="24"/>
          <w:szCs w:val="24"/>
        </w:rPr>
        <w:t>三、服务部分</w:t>
      </w:r>
      <w:bookmarkEnd w:id="225"/>
      <w:bookmarkEnd w:id="226"/>
      <w:bookmarkEnd w:id="227"/>
      <w:bookmarkEnd w:id="228"/>
      <w:bookmarkEnd w:id="229"/>
      <w:bookmarkEnd w:id="230"/>
      <w:bookmarkEnd w:id="231"/>
    </w:p>
    <w:p>
      <w:pPr>
        <w:snapToGrid w:val="0"/>
        <w:spacing w:line="360" w:lineRule="auto"/>
        <w:ind w:firstLine="480" w:firstLineChars="200"/>
        <w:rPr>
          <w:rFonts w:ascii="方正仿宋_GBK" w:eastAsia="方正仿宋_GBK"/>
          <w:b/>
        </w:rPr>
        <w:sectPr>
          <w:headerReference r:id="rId10" w:type="default"/>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（一）服务要求响应情况：交货时间、交货地点、服务条款等（格式自定）</w:t>
      </w:r>
    </w:p>
    <w:p>
      <w:pPr>
        <w:spacing w:line="360" w:lineRule="auto"/>
        <w:ind w:firstLine="480" w:firstLineChars="200"/>
        <w:rPr>
          <w:rFonts w:ascii="方正仿宋_GBK" w:hAnsi="宋体" w:eastAsia="方正仿宋_GBK"/>
          <w:sz w:val="24"/>
          <w:szCs w:val="24"/>
        </w:rPr>
      </w:pPr>
      <w:bookmarkStart w:id="232" w:name="_Toc283382459"/>
      <w:r>
        <w:rPr>
          <w:rFonts w:hint="eastAsia" w:ascii="方正仿宋_GBK" w:hAnsi="宋体" w:eastAsia="方正仿宋_GBK"/>
          <w:sz w:val="24"/>
          <w:szCs w:val="24"/>
        </w:rPr>
        <w:t>（二）服务响应偏离表</w:t>
      </w:r>
    </w:p>
    <w:p>
      <w:pPr>
        <w:snapToGrid w:val="0"/>
        <w:spacing w:line="360" w:lineRule="auto"/>
        <w:jc w:val="center"/>
        <w:rPr>
          <w:rFonts w:ascii="方正仿宋_GBK" w:hAnsi="宋体" w:eastAsia="方正仿宋_GBK"/>
          <w:b/>
          <w:szCs w:val="28"/>
        </w:rPr>
      </w:pPr>
      <w:r>
        <w:rPr>
          <w:rFonts w:hint="eastAsia" w:ascii="方正仿宋_GBK" w:hAnsi="宋体" w:eastAsia="方正仿宋_GBK"/>
          <w:b/>
          <w:szCs w:val="28"/>
        </w:rPr>
        <w:t>服务响应偏离表（本表可自行设计格式）</w:t>
      </w:r>
    </w:p>
    <w:p>
      <w:pPr>
        <w:snapToGrid w:val="0"/>
        <w:spacing w:line="360" w:lineRule="auto"/>
        <w:ind w:firstLine="465"/>
        <w:rPr>
          <w:rFonts w:ascii="方正仿宋_GBK" w:hAnsi="宋体" w:eastAsia="方正仿宋_GBK"/>
          <w:sz w:val="24"/>
          <w:szCs w:val="24"/>
        </w:rPr>
      </w:pPr>
      <w:r>
        <w:rPr>
          <w:rFonts w:hint="eastAsia" w:ascii="方正仿宋_GBK" w:hAnsi="宋体" w:eastAsia="方正仿宋_GBK"/>
          <w:sz w:val="24"/>
          <w:szCs w:val="24"/>
        </w:rPr>
        <w:t>对于竞争性谈判文件的服务要求，如有任何偏离请如实填写下表：</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bookmarkStart w:id="233" w:name="_Toc26190"/>
            <w:r>
              <w:rPr>
                <w:rFonts w:hint="eastAsia" w:ascii="方正仿宋_GBK" w:hAnsi="宋体" w:eastAsia="方正仿宋_GBK"/>
                <w:sz w:val="21"/>
                <w:szCs w:val="24"/>
              </w:rPr>
              <w:t>序号</w:t>
            </w:r>
            <w:bookmarkEnd w:id="233"/>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bookmarkStart w:id="234" w:name="_Toc11133"/>
            <w:r>
              <w:rPr>
                <w:rFonts w:hint="eastAsia" w:ascii="方正仿宋_GBK" w:hAnsi="宋体" w:eastAsia="方正仿宋_GBK"/>
                <w:sz w:val="21"/>
                <w:szCs w:val="24"/>
              </w:rPr>
              <w:t>谈判项目需求</w:t>
            </w:r>
            <w:bookmarkEnd w:id="234"/>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bookmarkStart w:id="235" w:name="_Toc423"/>
            <w:r>
              <w:rPr>
                <w:rFonts w:hint="eastAsia" w:ascii="方正仿宋_GBK" w:hAnsi="宋体" w:eastAsia="方正仿宋_GBK"/>
                <w:sz w:val="21"/>
                <w:szCs w:val="24"/>
              </w:rPr>
              <w:t>响应情况</w:t>
            </w:r>
            <w:bookmarkEnd w:id="235"/>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bookmarkStart w:id="236" w:name="_Toc14073"/>
            <w:r>
              <w:rPr>
                <w:rFonts w:hint="eastAsia" w:ascii="方正仿宋_GBK" w:hAnsi="宋体" w:eastAsia="方正仿宋_GBK"/>
                <w:sz w:val="21"/>
                <w:szCs w:val="24"/>
              </w:rPr>
              <w:t>偏离说明</w:t>
            </w:r>
            <w:bookmarkEnd w:id="2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rPr>
                <w:rFonts w:ascii="方正仿宋_GBK" w:hAnsi="宋体" w:eastAsia="方正仿宋_GBK"/>
                <w:sz w:val="21"/>
                <w:szCs w:val="24"/>
              </w:rPr>
            </w:pPr>
          </w:p>
        </w:tc>
      </w:tr>
    </w:tbl>
    <w:p>
      <w:pPr>
        <w:snapToGrid w:val="0"/>
        <w:spacing w:line="360" w:lineRule="auto"/>
        <w:ind w:firstLine="465"/>
        <w:rPr>
          <w:rFonts w:ascii="方正仿宋_GBK" w:hAnsi="宋体" w:eastAsia="方正仿宋_GBK"/>
          <w:sz w:val="24"/>
          <w:szCs w:val="24"/>
        </w:rPr>
      </w:pPr>
    </w:p>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pPr>
        <w:spacing w:line="500" w:lineRule="exact"/>
        <w:rPr>
          <w:rFonts w:ascii="方正仿宋_GBK" w:hAnsi="宋体" w:eastAsia="方正仿宋_GBK"/>
          <w:sz w:val="24"/>
          <w:szCs w:val="28"/>
        </w:rPr>
      </w:pP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.本表即为对本项目“第四篇 谈判项目服务需求”中所列服务要求进行比较和响应；</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2.该表必须按照竞争性谈判要求逐条如实填写，根据响应情况在“差异说明”项填写正偏离或负偏离及原因，完全符合的填写“无差异”；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pPr>
        <w:spacing w:line="360" w:lineRule="auto"/>
        <w:ind w:firstLine="560" w:firstLineChars="200"/>
        <w:rPr>
          <w:rFonts w:ascii="方正仿宋_GBK" w:hAnsi="宋体" w:eastAsia="方正仿宋_GBK"/>
          <w:sz w:val="24"/>
          <w:szCs w:val="24"/>
        </w:rPr>
      </w:pPr>
      <w:r>
        <w:br w:type="page"/>
      </w:r>
      <w:r>
        <w:rPr>
          <w:rFonts w:hint="eastAsia" w:ascii="方正仿宋_GBK" w:hAnsi="宋体" w:eastAsia="方正仿宋_GBK"/>
          <w:sz w:val="24"/>
          <w:szCs w:val="24"/>
        </w:rPr>
        <w:t>（三）其它优惠承诺（格式自定）</w:t>
      </w:r>
    </w:p>
    <w:p>
      <w:pPr>
        <w:pStyle w:val="5"/>
        <w:spacing w:line="360" w:lineRule="auto"/>
        <w:rPr>
          <w:rFonts w:ascii="方正仿宋_GBK" w:hAnsi="宋体" w:eastAsia="方正仿宋_GBK"/>
          <w:sz w:val="24"/>
          <w:szCs w:val="24"/>
        </w:rPr>
      </w:pPr>
      <w:r>
        <w:rPr>
          <w:rFonts w:ascii="方正仿宋_GBK" w:hAnsi="宋体" w:eastAsia="方正仿宋_GBK"/>
          <w:sz w:val="24"/>
          <w:szCs w:val="24"/>
        </w:rPr>
        <w:br w:type="page"/>
      </w:r>
      <w:bookmarkEnd w:id="232"/>
      <w:bookmarkStart w:id="237" w:name="_Toc29191"/>
      <w:bookmarkStart w:id="238" w:name="_Toc28374_WPSOffice_Level2"/>
      <w:bookmarkStart w:id="239" w:name="_Toc495320233"/>
      <w:bookmarkStart w:id="240" w:name="_Toc17059"/>
      <w:bookmarkStart w:id="241" w:name="_Toc313008359"/>
      <w:bookmarkStart w:id="242" w:name="_Toc342913422"/>
      <w:bookmarkStart w:id="243" w:name="_Toc313888363"/>
      <w:r>
        <w:rPr>
          <w:rFonts w:hint="eastAsia" w:ascii="方正仿宋_GBK" w:hAnsi="宋体" w:eastAsia="方正仿宋_GBK"/>
          <w:sz w:val="24"/>
          <w:szCs w:val="24"/>
        </w:rPr>
        <w:t>四、资格条件及其他</w:t>
      </w:r>
      <w:bookmarkEnd w:id="237"/>
      <w:bookmarkEnd w:id="238"/>
      <w:bookmarkEnd w:id="239"/>
      <w:bookmarkEnd w:id="240"/>
    </w:p>
    <w:p>
      <w:pPr>
        <w:tabs>
          <w:tab w:val="left" w:pos="6300"/>
        </w:tabs>
        <w:snapToGrid w:val="0"/>
        <w:spacing w:line="500" w:lineRule="exact"/>
        <w:ind w:firstLine="570"/>
        <w:rPr>
          <w:rFonts w:ascii="方正仿宋_GBK" w:hAnsi="宋体" w:eastAsia="方正仿宋_GBK"/>
        </w:rPr>
      </w:pPr>
      <w:r>
        <w:rPr>
          <w:rFonts w:hint="eastAsia" w:ascii="方正仿宋_GBK" w:hAnsi="宋体" w:eastAsia="方正仿宋_GBK"/>
        </w:rPr>
        <w:t>（一）营业执照（副本）</w:t>
      </w:r>
      <w:r>
        <w:rPr>
          <w:rFonts w:hint="eastAsia" w:ascii="方正仿宋_GBK" w:hAnsi="宋体" w:eastAsia="方正仿宋_GBK"/>
          <w:szCs w:val="28"/>
        </w:rPr>
        <w:t>或事业单位法人证书（副本）</w:t>
      </w:r>
      <w:r>
        <w:rPr>
          <w:rFonts w:hint="eastAsia" w:ascii="方正仿宋_GBK" w:hAnsi="宋体" w:eastAsia="方正仿宋_GBK"/>
        </w:rPr>
        <w:t>复印件</w:t>
      </w: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r>
        <w:rPr>
          <w:rFonts w:hint="eastAsia" w:ascii="方正仿宋_GBK" w:hAnsi="宋体" w:eastAsia="方正仿宋_GBK"/>
        </w:rPr>
        <w:t>（二）组织机构代码证复印件</w:t>
      </w: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widowControl/>
        <w:ind w:firstLine="560" w:firstLineChars="200"/>
        <w:jc w:val="left"/>
        <w:rPr>
          <w:rFonts w:ascii="方正仿宋_GBK" w:hAnsi="宋体" w:eastAsia="方正仿宋_GBK"/>
        </w:rPr>
      </w:pPr>
      <w:r>
        <w:rPr>
          <w:rFonts w:ascii="方正仿宋_GBK" w:hAnsi="宋体" w:eastAsia="方正仿宋_GBK"/>
        </w:rPr>
        <w:br w:type="page"/>
      </w:r>
      <w:r>
        <w:rPr>
          <w:rFonts w:hint="eastAsia" w:ascii="方正仿宋_GBK" w:hAnsi="宋体" w:eastAsia="方正仿宋_GBK"/>
        </w:rPr>
        <w:t>（三）法定代表人身份证明书（格式）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重庆城市管理职业学院</w:t>
      </w:r>
      <w:r>
        <w:rPr>
          <w:rFonts w:hint="eastAsia" w:ascii="方正仿宋_GBK" w:hAnsi="宋体" w:eastAsia="方正仿宋_GBK"/>
          <w:sz w:val="24"/>
        </w:rPr>
        <w:t>（部门集中采购机构名称）：</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（法定代表人姓名）在（供应商名称）任（职务名称）职务，是（供应商名称）的法定代表人。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rPr>
      </w:pPr>
      <w:r>
        <w:br w:type="column"/>
      </w:r>
      <w:r>
        <w:rPr>
          <w:rFonts w:hint="eastAsia" w:ascii="方正仿宋_GBK" w:hAnsi="宋体" w:eastAsia="方正仿宋_GBK"/>
        </w:rPr>
        <w:t>（四）法定代表人授权委托书（格式）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重庆城市管理职业学院</w:t>
      </w:r>
      <w:r>
        <w:rPr>
          <w:rFonts w:hint="eastAsia" w:ascii="方正仿宋_GBK" w:hAnsi="宋体" w:eastAsia="方正仿宋_GBK"/>
          <w:sz w:val="24"/>
        </w:rPr>
        <w:t>（部门集中采购机构名称）：</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（供应商法定代表人名称）是（供应商名称）的法定代表人，特授权（被授权人姓名及身份证代码）代表我单位全权办理上述项目的谈判、签约等具体工作，并签署全部有关文件、协议及合同。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（签字或盖章）                                （签字或盖章）</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firstLine="570"/>
        <w:rPr>
          <w:rFonts w:ascii="方正仿宋_GBK" w:hAnsi="宋体" w:eastAsia="方正仿宋_GBK"/>
        </w:rPr>
      </w:pPr>
      <w:r>
        <w:rPr>
          <w:rFonts w:ascii="宋体" w:hAnsi="宋体"/>
        </w:rPr>
        <w:br w:type="column"/>
      </w:r>
      <w:r>
        <w:rPr>
          <w:rFonts w:hint="eastAsia" w:ascii="方正仿宋_GBK" w:hAnsi="宋体" w:eastAsia="方正仿宋_GBK"/>
        </w:rPr>
        <w:t>（五）2019年度财务状况报告（表）或其基本开户银行出具的资信证明复印件；本年度新成立或成立不满一年的组织和自然人无法提供财务状况报告（表）的，可提供银行出具的资信证明复印件。</w:t>
      </w:r>
    </w:p>
    <w:p>
      <w:pPr>
        <w:tabs>
          <w:tab w:val="left" w:pos="6300"/>
        </w:tabs>
        <w:snapToGrid w:val="0"/>
        <w:spacing w:line="400" w:lineRule="atLeast"/>
        <w:jc w:val="center"/>
        <w:rPr>
          <w:rFonts w:ascii="方正仿宋_GBK" w:hAnsi="宋体" w:eastAsia="方正仿宋_GBK"/>
          <w:b/>
          <w:szCs w:val="28"/>
        </w:rPr>
      </w:pPr>
      <w:bookmarkStart w:id="244" w:name="_Toc14498"/>
      <w:bookmarkStart w:id="245" w:name="_Toc30638"/>
      <w:bookmarkStart w:id="246" w:name="_Toc9151_WPSOffice_Level2"/>
    </w:p>
    <w:bookmarkEnd w:id="244"/>
    <w:bookmarkEnd w:id="245"/>
    <w:bookmarkEnd w:id="246"/>
    <w:p>
      <w:pPr>
        <w:tabs>
          <w:tab w:val="left" w:pos="6300"/>
        </w:tabs>
        <w:snapToGrid w:val="0"/>
        <w:spacing w:line="500" w:lineRule="exact"/>
        <w:ind w:firstLine="3220" w:firstLineChars="1150"/>
        <w:rPr>
          <w:rFonts w:ascii="方正仿宋_GBK" w:hAnsi="宋体" w:eastAsia="方正仿宋_GBK"/>
          <w:sz w:val="24"/>
        </w:rPr>
      </w:pPr>
      <w:r>
        <w:rPr>
          <w:rFonts w:ascii="方正仿宋_GBK" w:hAnsi="宋体" w:eastAsia="方正仿宋_GBK"/>
        </w:rPr>
        <w:br w:type="page"/>
      </w:r>
      <w:r>
        <w:rPr>
          <w:rFonts w:hint="eastAsia" w:ascii="方正仿宋_GBK" w:hAnsi="宋体" w:eastAsia="方正仿宋_GBK"/>
        </w:rPr>
        <w:t>（六）诚信声明书</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项目名称</w:t>
      </w:r>
      <w:r>
        <w:rPr>
          <w:rFonts w:hint="eastAsia" w:ascii="方正仿宋_GBK" w:hAnsi="宋体" w:eastAsia="方正仿宋_GBK"/>
          <w:sz w:val="24"/>
        </w:rPr>
        <w:t>：</w:t>
      </w:r>
    </w:p>
    <w:p>
      <w:pPr>
        <w:tabs>
          <w:tab w:val="left" w:pos="6300"/>
        </w:tabs>
        <w:snapToGrid w:val="0"/>
        <w:spacing w:line="5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致：重庆城市管理职业学院（部门集中采购机构名称）：</w:t>
      </w:r>
    </w:p>
    <w:p>
      <w:pPr>
        <w:tabs>
          <w:tab w:val="left" w:pos="6300"/>
        </w:tabs>
        <w:snapToGrid w:val="0"/>
        <w:spacing w:line="5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供应商名称）郑重声明，我公司具有良好的商业信誉，没有资产负债，有按照国家政策要求依法缴纳税收和社会保障金，具有履行合同所必需的设备和专业技术能力，参加本项目采购活动前三年内无重大违法活动记录，在合同签订前后随时愿意提供相关证明材料。我公司还同时声明未列入在信用中国网站（www.creditchina.gov.cn）“失信被执行人”、 “重大税收违法案件当事人名单”中，也未列入中国政府采购网（www.ccgp.gov.cn）“政府采购严重违法失信行为记录名单”中，并随时接受采购人、部门集中采购机构的检查验证，符合《政府采购法》规定的供应商资格条件。我公司同时还声明，提供的投标材料真实、合法、有效，无任何伪造、虚假成分，材料所述内容均为本单位真实拥有；尊重专家评审结果，切实维护招标采购的正常秩序，维护采购结果的严肃性及权威性；若中标，积极履行中标人的义务，认真执行采购合同</w:t>
      </w:r>
      <w:r>
        <w:rPr>
          <w:rFonts w:hint="eastAsia" w:ascii="方正仿宋_GBK" w:hAnsi="宋体" w:eastAsia="方正仿宋_GBK"/>
          <w:sz w:val="24"/>
          <w:szCs w:val="28"/>
          <w:lang w:eastAsia="zh-CN"/>
        </w:rPr>
        <w:t>，严格按照重庆城市管理职业学院采购与招投标管理办法（最新版）对供应商的要求执行</w:t>
      </w:r>
      <w:r>
        <w:rPr>
          <w:rFonts w:hint="eastAsia" w:ascii="方正仿宋_GBK" w:hAnsi="宋体" w:eastAsia="方正仿宋_GBK"/>
          <w:sz w:val="24"/>
          <w:szCs w:val="28"/>
        </w:rPr>
        <w:t>。</w:t>
      </w:r>
    </w:p>
    <w:p>
      <w:pPr>
        <w:tabs>
          <w:tab w:val="left" w:pos="6300"/>
        </w:tabs>
        <w:snapToGrid w:val="0"/>
        <w:spacing w:line="5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我方对以上声明负全部法律责任。</w:t>
      </w:r>
    </w:p>
    <w:p>
      <w:pPr>
        <w:tabs>
          <w:tab w:val="left" w:pos="6300"/>
        </w:tabs>
        <w:snapToGrid w:val="0"/>
        <w:spacing w:line="5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特此声明。</w:t>
      </w:r>
    </w:p>
    <w:p>
      <w:pPr>
        <w:tabs>
          <w:tab w:val="left" w:pos="6300"/>
        </w:tabs>
        <w:snapToGrid w:val="0"/>
        <w:spacing w:line="500" w:lineRule="exact"/>
        <w:ind w:firstLine="480" w:firstLineChars="200"/>
        <w:rPr>
          <w:rFonts w:hint="eastAsia" w:ascii="方正仿宋_GBK" w:hAnsi="宋体" w:eastAsia="方正仿宋_GBK"/>
          <w:sz w:val="24"/>
          <w:szCs w:val="28"/>
        </w:rPr>
      </w:pPr>
    </w:p>
    <w:p>
      <w:pPr>
        <w:tabs>
          <w:tab w:val="left" w:pos="6300"/>
        </w:tabs>
        <w:snapToGrid w:val="0"/>
        <w:spacing w:line="500" w:lineRule="exact"/>
        <w:ind w:firstLine="480" w:firstLineChars="200"/>
        <w:rPr>
          <w:rFonts w:hint="eastAsia" w:ascii="方正仿宋_GBK" w:hAnsi="宋体" w:eastAsia="方正仿宋_GBK"/>
          <w:sz w:val="24"/>
          <w:szCs w:val="28"/>
        </w:rPr>
      </w:pPr>
    </w:p>
    <w:p>
      <w:pPr>
        <w:tabs>
          <w:tab w:val="left" w:pos="6300"/>
        </w:tabs>
        <w:snapToGrid w:val="0"/>
        <w:spacing w:line="500" w:lineRule="exact"/>
        <w:ind w:firstLine="6480" w:firstLineChars="2700"/>
        <w:rPr>
          <w:rFonts w:hint="eastAsia" w:ascii="方正仿宋_GBK" w:hAnsi="宋体" w:eastAsia="方正仿宋_GBK"/>
          <w:sz w:val="24"/>
          <w:szCs w:val="28"/>
        </w:rPr>
      </w:pPr>
      <w:r>
        <w:rPr>
          <w:rFonts w:hint="eastAsia" w:ascii="方正仿宋_GBK" w:hAnsi="宋体" w:eastAsia="方正仿宋_GBK"/>
          <w:sz w:val="24"/>
          <w:szCs w:val="28"/>
        </w:rPr>
        <w:t>（供应商公章）</w:t>
      </w:r>
    </w:p>
    <w:p>
      <w:pPr>
        <w:tabs>
          <w:tab w:val="left" w:pos="6300"/>
        </w:tabs>
        <w:snapToGrid w:val="0"/>
        <w:spacing w:line="500" w:lineRule="exact"/>
        <w:ind w:firstLine="6720" w:firstLineChars="2800"/>
        <w:rPr>
          <w:rFonts w:hint="eastAsia" w:ascii="方正仿宋_GBK" w:hAnsi="宋体" w:eastAsia="方正仿宋_GBK"/>
          <w:sz w:val="24"/>
          <w:szCs w:val="28"/>
        </w:rPr>
      </w:pPr>
      <w:r>
        <w:rPr>
          <w:rFonts w:hint="eastAsia" w:ascii="方正仿宋_GBK" w:hAnsi="宋体" w:eastAsia="方正仿宋_GBK"/>
          <w:sz w:val="24"/>
          <w:szCs w:val="28"/>
        </w:rPr>
        <w:t>年   月   日</w:t>
      </w:r>
    </w:p>
    <w:p>
      <w:pPr>
        <w:tabs>
          <w:tab w:val="left" w:pos="6300"/>
        </w:tabs>
        <w:snapToGrid w:val="0"/>
        <w:spacing w:line="500" w:lineRule="exact"/>
        <w:ind w:firstLine="560" w:firstLineChars="200"/>
        <w:rPr>
          <w:rFonts w:ascii="方正仿宋_GBK" w:hAnsi="宋体" w:eastAsia="方正仿宋_GBK"/>
        </w:rPr>
      </w:pPr>
      <w:r>
        <w:rPr>
          <w:rFonts w:ascii="宋体" w:hAnsi="宋体"/>
        </w:rPr>
        <w:br w:type="page"/>
      </w:r>
      <w:r>
        <w:rPr>
          <w:rFonts w:hint="eastAsia" w:ascii="方正仿宋_GBK" w:hAnsi="宋体" w:eastAsia="方正仿宋_GBK"/>
        </w:rPr>
        <w:t>（七）税务登记证（副本）复印件和社会保险缴纳证明材料</w:t>
      </w:r>
    </w:p>
    <w:p>
      <w:pPr>
        <w:tabs>
          <w:tab w:val="left" w:pos="6300"/>
        </w:tabs>
        <w:snapToGrid w:val="0"/>
        <w:spacing w:line="500" w:lineRule="exact"/>
        <w:ind w:firstLine="560" w:firstLineChars="200"/>
        <w:rPr>
          <w:rFonts w:ascii="方正仿宋_GBK" w:hAnsi="宋体" w:eastAsia="方正仿宋_GBK"/>
        </w:rPr>
      </w:pPr>
      <w:r>
        <w:rPr>
          <w:rFonts w:hint="eastAsia" w:ascii="方正仿宋_GBK" w:hAnsi="宋体" w:eastAsia="方正仿宋_GBK"/>
        </w:rPr>
        <w:t>（八）特定资格条件证书或证明文件</w:t>
      </w:r>
    </w:p>
    <w:p>
      <w:pPr>
        <w:tabs>
          <w:tab w:val="left" w:pos="6300"/>
        </w:tabs>
        <w:snapToGrid w:val="0"/>
        <w:spacing w:line="500" w:lineRule="exact"/>
        <w:ind w:firstLine="560" w:firstLineChars="200"/>
        <w:rPr>
          <w:rFonts w:ascii="方正仿宋_GBK" w:hAnsi="宋体" w:eastAsia="方正仿宋_GBK"/>
        </w:rPr>
      </w:pPr>
      <w:r>
        <w:rPr>
          <w:rFonts w:hint="eastAsia" w:ascii="方正仿宋_GBK" w:hAnsi="宋体" w:eastAsia="方正仿宋_GBK"/>
        </w:rPr>
        <w:t>说明：供应商按“多证合一”登记制度办理营业执照的，组织机构代码证和税务登记证以供应商所提供的营业执照（副本）复印件为准。</w:t>
      </w:r>
    </w:p>
    <w:p>
      <w:pPr>
        <w:pStyle w:val="5"/>
        <w:spacing w:line="360" w:lineRule="auto"/>
        <w:rPr>
          <w:rFonts w:ascii="方正仿宋_GBK" w:hAnsi="宋体" w:eastAsia="方正仿宋_GBK"/>
          <w:sz w:val="24"/>
          <w:szCs w:val="24"/>
        </w:rPr>
      </w:pPr>
      <w:bookmarkStart w:id="247" w:name="_Toc7944"/>
      <w:bookmarkStart w:id="248" w:name="_Toc5108_WPSOffice_Level2"/>
      <w:bookmarkStart w:id="249" w:name="_Toc495320234"/>
      <w:bookmarkStart w:id="250" w:name="_Toc9265"/>
    </w:p>
    <w:p>
      <w:pPr>
        <w:tabs>
          <w:tab w:val="left" w:pos="6300"/>
        </w:tabs>
        <w:snapToGrid w:val="0"/>
        <w:spacing w:line="500" w:lineRule="exact"/>
        <w:ind w:firstLine="560" w:firstLineChars="200"/>
        <w:rPr>
          <w:rFonts w:ascii="方正仿宋_GBK" w:hAnsi="宋体" w:eastAsia="方正仿宋_GBK"/>
        </w:rPr>
      </w:pPr>
      <w:r>
        <w:rPr>
          <w:rFonts w:hint="eastAsia" w:ascii="方正仿宋_GBK" w:hAnsi="宋体" w:eastAsia="方正仿宋_GBK"/>
        </w:rPr>
        <w:t>五、</w:t>
      </w:r>
      <w:bookmarkEnd w:id="241"/>
      <w:bookmarkEnd w:id="242"/>
      <w:bookmarkEnd w:id="243"/>
      <w:r>
        <w:rPr>
          <w:rFonts w:hint="eastAsia" w:ascii="方正仿宋_GBK" w:hAnsi="宋体" w:eastAsia="方正仿宋_GBK"/>
        </w:rPr>
        <w:t>其他应提供的资料</w:t>
      </w:r>
      <w:bookmarkEnd w:id="247"/>
      <w:bookmarkEnd w:id="248"/>
      <w:bookmarkEnd w:id="249"/>
      <w:bookmarkEnd w:id="250"/>
    </w:p>
    <w:p>
      <w:pPr>
        <w:tabs>
          <w:tab w:val="left" w:pos="6300"/>
        </w:tabs>
        <w:snapToGrid w:val="0"/>
        <w:spacing w:line="500" w:lineRule="exact"/>
        <w:ind w:firstLine="560" w:firstLineChars="200"/>
        <w:rPr>
          <w:rFonts w:ascii="方正仿宋_GBK" w:hAnsi="宋体" w:eastAsia="方正仿宋_GBK"/>
        </w:rPr>
      </w:pPr>
      <w:r>
        <w:rPr>
          <w:rFonts w:hint="eastAsia" w:ascii="方正仿宋_GBK" w:hAnsi="宋体" w:eastAsia="方正仿宋_GBK"/>
        </w:rPr>
        <w:t>1.保证金缴纳情况证明文件。</w:t>
      </w:r>
    </w:p>
    <w:p>
      <w:pPr>
        <w:tabs>
          <w:tab w:val="left" w:pos="6300"/>
        </w:tabs>
        <w:snapToGrid w:val="0"/>
        <w:spacing w:line="500" w:lineRule="exact"/>
        <w:ind w:firstLine="560" w:firstLineChars="200"/>
        <w:rPr>
          <w:rFonts w:ascii="方正仿宋_GBK" w:hAnsi="宋体" w:eastAsia="方正仿宋_GBK"/>
        </w:rPr>
      </w:pPr>
      <w:r>
        <w:rPr>
          <w:rFonts w:hint="eastAsia" w:ascii="方正仿宋_GBK" w:hAnsi="宋体" w:eastAsia="方正仿宋_GBK"/>
        </w:rPr>
        <w:t>2.其他与项目有关的资料（自附）：供应商总体情况介绍、其他与本项目有关的资料等。</w:t>
      </w:r>
    </w:p>
    <w:p>
      <w:pPr>
        <w:ind w:firstLine="480" w:firstLineChars="200"/>
        <w:rPr>
          <w:rFonts w:ascii="方正仿宋_GBK" w:hAnsi="宋体" w:eastAsia="方正仿宋_GBK"/>
          <w:sz w:val="24"/>
          <w:szCs w:val="24"/>
          <w:highlight w:val="yellow"/>
        </w:rPr>
      </w:pPr>
      <w:r>
        <w:rPr>
          <w:rFonts w:hint="eastAsia" w:ascii="方正仿宋_GBK" w:hAnsi="宋体" w:eastAsia="方正仿宋_GBK"/>
          <w:sz w:val="24"/>
          <w:szCs w:val="24"/>
          <w:highlight w:val="yellow"/>
        </w:rPr>
        <w:t>3.疫情期间的特别要求：</w:t>
      </w:r>
    </w:p>
    <w:p>
      <w:pPr>
        <w:jc w:val="center"/>
        <w:outlineLvl w:val="0"/>
        <w:rPr>
          <w:rFonts w:ascii="方正小标宋_GBK" w:hAnsi="方正小标宋_GBK" w:eastAsia="方正小标宋_GBK" w:cs="方正小标宋_GBK"/>
          <w:sz w:val="36"/>
          <w:szCs w:val="36"/>
        </w:rPr>
      </w:pPr>
      <w:bookmarkStart w:id="251" w:name="_Toc13507"/>
      <w:r>
        <w:rPr>
          <w:rFonts w:hint="eastAsia" w:ascii="方正小标宋_GBK" w:hAnsi="方正小标宋_GBK" w:eastAsia="方正小标宋_GBK" w:cs="方正小标宋_GBK"/>
          <w:sz w:val="36"/>
          <w:szCs w:val="36"/>
        </w:rPr>
        <w:t>重庆城市管理职业学院</w:t>
      </w:r>
      <w:bookmarkEnd w:id="251"/>
    </w:p>
    <w:p>
      <w:pPr>
        <w:jc w:val="center"/>
        <w:outlineLvl w:val="0"/>
        <w:rPr>
          <w:rFonts w:ascii="方正小标宋_GBK" w:hAnsi="方正小标宋_GBK" w:eastAsia="方正小标宋_GBK" w:cs="方正小标宋_GBK"/>
          <w:sz w:val="36"/>
          <w:szCs w:val="36"/>
        </w:rPr>
      </w:pPr>
      <w:bookmarkStart w:id="252" w:name="_Toc21137"/>
      <w:r>
        <w:rPr>
          <w:rFonts w:hint="eastAsia" w:ascii="方正小标宋_GBK" w:hAnsi="方正小标宋_GBK" w:eastAsia="方正小标宋_GBK" w:cs="方正小标宋_GBK"/>
          <w:sz w:val="36"/>
          <w:szCs w:val="36"/>
        </w:rPr>
        <w:t>疫情防控期间招投标现场交易保障预案</w:t>
      </w:r>
      <w:bookmarkEnd w:id="252"/>
    </w:p>
    <w:p>
      <w:pPr>
        <w:ind w:firstLine="640" w:firstLineChars="200"/>
        <w:rPr>
          <w:rFonts w:ascii="方正仿宋_GBK" w:hAnsi="方正仿宋_GBK" w:eastAsia="方正仿宋_GBK" w:cs="方正仿宋_GBK"/>
          <w:sz w:val="32"/>
          <w:szCs w:val="32"/>
        </w:rPr>
      </w:pPr>
    </w:p>
    <w:p>
      <w:pPr>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根据重庆市关于新型冠状病毒感染的肺炎疫情防控工作重要部署，参照学校疫情的相关规定，特制定本预案。</w:t>
      </w:r>
    </w:p>
    <w:p>
      <w:pPr>
        <w:numPr>
          <w:ilvl w:val="0"/>
          <w:numId w:val="3"/>
        </w:numPr>
        <w:ind w:firstLine="560" w:firstLineChars="200"/>
        <w:outlineLvl w:val="0"/>
        <w:rPr>
          <w:rFonts w:ascii="方正黑体_GBK" w:hAnsi="方正黑体_GBK" w:eastAsia="方正黑体_GBK" w:cs="方正黑体_GBK"/>
          <w:szCs w:val="28"/>
        </w:rPr>
      </w:pPr>
      <w:bookmarkStart w:id="253" w:name="_Toc8788"/>
      <w:r>
        <w:rPr>
          <w:rFonts w:hint="eastAsia" w:ascii="方正黑体_GBK" w:hAnsi="方正黑体_GBK" w:eastAsia="方正黑体_GBK" w:cs="方正黑体_GBK"/>
          <w:szCs w:val="28"/>
        </w:rPr>
        <w:t>交易现场管控措施</w:t>
      </w:r>
      <w:bookmarkEnd w:id="253"/>
    </w:p>
    <w:p>
      <w:pPr>
        <w:numPr>
          <w:ilvl w:val="0"/>
          <w:numId w:val="4"/>
        </w:numPr>
        <w:ind w:firstLine="560" w:firstLineChars="200"/>
        <w:outlineLvl w:val="1"/>
        <w:rPr>
          <w:rFonts w:ascii="方正楷体_GBK" w:hAnsi="方正楷体_GBK" w:eastAsia="方正楷体_GBK" w:cs="方正楷体_GBK"/>
          <w:szCs w:val="28"/>
        </w:rPr>
      </w:pPr>
      <w:bookmarkStart w:id="254" w:name="_Toc11125"/>
      <w:r>
        <w:rPr>
          <w:rFonts w:hint="eastAsia" w:ascii="方正楷体_GBK" w:hAnsi="方正楷体_GBK" w:eastAsia="方正楷体_GBK" w:cs="方正楷体_GBK"/>
          <w:szCs w:val="28"/>
        </w:rPr>
        <w:t>进出通道管理</w:t>
      </w:r>
      <w:bookmarkEnd w:id="254"/>
    </w:p>
    <w:p>
      <w:pPr>
        <w:ind w:firstLine="640"/>
        <w:rPr>
          <w:rFonts w:ascii="方正仿宋_GBK" w:hAnsi="方正仿宋_GBK" w:eastAsia="方正仿宋_GBK" w:cs="方正仿宋_GBK"/>
          <w:szCs w:val="28"/>
        </w:rPr>
      </w:pPr>
      <w:r>
        <w:rPr>
          <w:rFonts w:hint="eastAsia" w:ascii="方正仿宋_GBK" w:hAnsi="方正仿宋_GBK" w:eastAsia="方正仿宋_GBK" w:cs="方正仿宋_GBK"/>
          <w:szCs w:val="28"/>
        </w:rPr>
        <w:t>按要求从</w:t>
      </w:r>
      <w:r>
        <w:rPr>
          <w:rFonts w:hint="eastAsia" w:ascii="仿宋" w:hAnsi="仿宋" w:eastAsia="仿宋" w:cs="仿宋"/>
          <w:szCs w:val="28"/>
        </w:rPr>
        <w:t>图书馆</w:t>
      </w:r>
      <w:r>
        <w:rPr>
          <w:rFonts w:hint="eastAsia" w:ascii="方正仿宋_GBK" w:hAnsi="方正仿宋_GBK" w:eastAsia="方正仿宋_GBK" w:cs="方正仿宋_GBK"/>
          <w:szCs w:val="28"/>
        </w:rPr>
        <w:t>一楼大厅前门进出。根据片区防疫管控方案，车辆不能进入校区，自行解决停车问题。</w:t>
      </w:r>
    </w:p>
    <w:p>
      <w:pPr>
        <w:numPr>
          <w:ilvl w:val="0"/>
          <w:numId w:val="4"/>
        </w:numPr>
        <w:ind w:firstLine="560" w:firstLineChars="200"/>
        <w:outlineLvl w:val="1"/>
        <w:rPr>
          <w:rFonts w:ascii="方正楷体_GBK" w:hAnsi="方正楷体_GBK" w:eastAsia="方正楷体_GBK" w:cs="方正楷体_GBK"/>
          <w:szCs w:val="28"/>
        </w:rPr>
      </w:pPr>
      <w:bookmarkStart w:id="255" w:name="_Toc2818"/>
      <w:r>
        <w:rPr>
          <w:rFonts w:hint="eastAsia" w:ascii="方正楷体_GBK" w:hAnsi="方正楷体_GBK" w:eastAsia="方正楷体_GBK" w:cs="方正楷体_GBK"/>
          <w:szCs w:val="28"/>
        </w:rPr>
        <w:t>人员进场管理</w:t>
      </w:r>
      <w:bookmarkEnd w:id="255"/>
    </w:p>
    <w:p>
      <w:pPr>
        <w:ind w:firstLine="640"/>
        <w:rPr>
          <w:rFonts w:ascii="仿宋" w:hAnsi="仿宋" w:eastAsia="仿宋" w:cs="仿宋"/>
          <w:szCs w:val="28"/>
        </w:rPr>
      </w:pPr>
      <w:r>
        <w:rPr>
          <w:rFonts w:hint="eastAsia" w:ascii="仿宋" w:hAnsi="仿宋" w:eastAsia="仿宋" w:cs="仿宋"/>
          <w:szCs w:val="28"/>
        </w:rPr>
        <w:t>严控交易人数。每个项目的投标人仅限1人可以进入学校内。</w:t>
      </w:r>
    </w:p>
    <w:p>
      <w:pPr>
        <w:ind w:firstLine="640"/>
        <w:rPr>
          <w:rFonts w:ascii="仿宋" w:hAnsi="仿宋" w:eastAsia="仿宋" w:cs="仿宋"/>
          <w:szCs w:val="28"/>
        </w:rPr>
      </w:pPr>
      <w:r>
        <w:rPr>
          <w:rFonts w:hint="eastAsia" w:ascii="仿宋" w:hAnsi="仿宋" w:eastAsia="仿宋" w:cs="仿宋"/>
          <w:szCs w:val="28"/>
        </w:rPr>
        <w:t>全员登记监测。入场前，所有人员应自觉做好个人防护，正确佩戴无呼吸气阀的合格口罩，主动配合做好实名登记、体温检测等防控工作。</w:t>
      </w:r>
      <w:r>
        <w:rPr>
          <w:rFonts w:hint="eastAsia" w:ascii="仿宋" w:hAnsi="仿宋" w:eastAsia="仿宋" w:cs="仿宋"/>
          <w:szCs w:val="28"/>
          <w:highlight w:val="yellow"/>
          <w:u w:val="single"/>
        </w:rPr>
        <w:t>进校区时出示身份证和健康码。</w:t>
      </w:r>
      <w:r>
        <w:rPr>
          <w:rFonts w:hint="eastAsia" w:ascii="仿宋" w:hAnsi="仿宋" w:eastAsia="仿宋" w:cs="仿宋"/>
          <w:szCs w:val="28"/>
        </w:rPr>
        <w:t>未正确佩戴合格口罩、体温超过37.3℃、有疫情接触史且医学观察未满14天者，</w:t>
      </w:r>
      <w:r>
        <w:rPr>
          <w:rFonts w:hint="eastAsia" w:ascii="方正仿宋_GBK" w:hAnsi="方正仿宋_GBK" w:eastAsia="方正仿宋_GBK" w:cs="方正仿宋_GBK"/>
          <w:szCs w:val="28"/>
        </w:rPr>
        <w:t>按照疫情联防联控要求执行，</w:t>
      </w:r>
      <w:r>
        <w:rPr>
          <w:rFonts w:hint="eastAsia" w:ascii="仿宋" w:hAnsi="仿宋" w:eastAsia="仿宋" w:cs="仿宋"/>
          <w:szCs w:val="28"/>
        </w:rPr>
        <w:t>必要的将配合区域防疫机构强制隔离。</w:t>
      </w:r>
    </w:p>
    <w:p>
      <w:pPr>
        <w:numPr>
          <w:ilvl w:val="0"/>
          <w:numId w:val="4"/>
        </w:numPr>
        <w:tabs>
          <w:tab w:val="left" w:pos="624"/>
        </w:tabs>
        <w:ind w:firstLine="560" w:firstLineChars="200"/>
        <w:outlineLvl w:val="1"/>
        <w:rPr>
          <w:rFonts w:hint="eastAsia" w:ascii="方正楷体_GBK" w:hAnsi="方正楷体_GBK" w:eastAsia="方正楷体_GBK" w:cs="方正楷体_GBK"/>
          <w:szCs w:val="28"/>
        </w:rPr>
      </w:pPr>
      <w:r>
        <w:rPr>
          <w:rFonts w:hint="eastAsia" w:ascii="方正楷体_GBK" w:hAnsi="方正楷体_GBK" w:eastAsia="方正楷体_GBK" w:cs="方正楷体_GBK"/>
          <w:szCs w:val="28"/>
        </w:rPr>
        <w:t>全员主动承诺。各市场主体、评标专家、监督人员应指派无疫情接触史、身体健康且符合疫情防控工作要求的人员参加现场交易活动，并递交符合防疫要求的承诺书（详见附件1至附件3）。</w:t>
      </w:r>
    </w:p>
    <w:p>
      <w:pPr>
        <w:numPr>
          <w:ilvl w:val="0"/>
          <w:numId w:val="4"/>
        </w:numPr>
        <w:tabs>
          <w:tab w:val="left" w:pos="624"/>
        </w:tabs>
        <w:ind w:firstLine="560" w:firstLineChars="200"/>
        <w:outlineLvl w:val="1"/>
        <w:rPr>
          <w:rFonts w:ascii="方正楷体_GBK" w:hAnsi="方正楷体_GBK" w:eastAsia="方正楷体_GBK" w:cs="方正楷体_GBK"/>
          <w:szCs w:val="28"/>
        </w:rPr>
      </w:pPr>
      <w:bookmarkStart w:id="256" w:name="_Toc3840"/>
      <w:r>
        <w:rPr>
          <w:rFonts w:hint="eastAsia" w:ascii="方正楷体_GBK" w:hAnsi="方正楷体_GBK" w:eastAsia="方正楷体_GBK" w:cs="方正楷体_GBK"/>
          <w:szCs w:val="28"/>
        </w:rPr>
        <w:t>场内巡查管理</w:t>
      </w:r>
      <w:bookmarkEnd w:id="256"/>
    </w:p>
    <w:p>
      <w:pPr>
        <w:numPr>
          <w:ilvl w:val="0"/>
          <w:numId w:val="4"/>
        </w:numPr>
        <w:tabs>
          <w:tab w:val="left" w:pos="624"/>
        </w:tabs>
        <w:ind w:firstLine="560" w:firstLineChars="200"/>
        <w:outlineLvl w:val="1"/>
        <w:rPr>
          <w:rFonts w:hint="eastAsia" w:ascii="方正楷体_GBK" w:hAnsi="方正楷体_GBK" w:eastAsia="方正楷体_GBK" w:cs="方正楷体_GBK"/>
          <w:szCs w:val="28"/>
        </w:rPr>
      </w:pPr>
      <w:r>
        <w:rPr>
          <w:rFonts w:hint="eastAsia" w:ascii="方正楷体_GBK" w:hAnsi="方正楷体_GBK" w:eastAsia="方正楷体_GBK" w:cs="方正楷体_GBK"/>
          <w:szCs w:val="28"/>
        </w:rPr>
        <w:t>保持安全距离。所有人员在场内等候或工作期间，应全程佩戴口罩，尽可能独立乘坐电梯，自觉保持1米以上间隔距离，座位隔空就座，不扎堆聚集，不喧哗闲聊，不随意走动，废弃口罩定点投放。</w:t>
      </w:r>
    </w:p>
    <w:p>
      <w:pPr>
        <w:numPr>
          <w:ilvl w:val="0"/>
          <w:numId w:val="4"/>
        </w:numPr>
        <w:tabs>
          <w:tab w:val="left" w:pos="624"/>
        </w:tabs>
        <w:ind w:firstLine="560" w:firstLineChars="200"/>
        <w:outlineLvl w:val="1"/>
        <w:rPr>
          <w:rFonts w:ascii="方正仿宋_GBK" w:hAnsi="方正仿宋_GBK" w:eastAsia="方正仿宋_GBK" w:cs="方正仿宋_GBK"/>
          <w:szCs w:val="28"/>
        </w:rPr>
      </w:pPr>
      <w:r>
        <w:rPr>
          <w:rFonts w:hint="eastAsia" w:ascii="方正楷体_GBK" w:hAnsi="方正楷体_GBK" w:eastAsia="方正楷体_GBK" w:cs="方正楷体_GBK"/>
          <w:szCs w:val="28"/>
        </w:rPr>
        <w:t>控制活动时间。加快开标节奏，在开标前将相关空白表格提前准备就绪；</w:t>
      </w:r>
      <w:r>
        <w:rPr>
          <w:rFonts w:hint="eastAsia" w:ascii="方正仿宋_GBK" w:hAnsi="方正仿宋_GBK" w:eastAsia="方正仿宋_GBK" w:cs="方正仿宋_GBK"/>
          <w:szCs w:val="28"/>
        </w:rPr>
        <w:t>投标人办理业务时应提前准备好所需材料一次办结，即办即走不逗留;交易活动结東后应立即离开现场，不得滞留。</w:t>
      </w:r>
    </w:p>
    <w:p>
      <w:pPr>
        <w:ind w:firstLine="560" w:firstLineChars="200"/>
        <w:rPr>
          <w:rFonts w:hint="eastAsia" w:ascii="方正仿宋_GBK" w:hAnsi="方正仿宋_GBK" w:eastAsia="方正仿宋_GBK" w:cs="方正仿宋_GBK"/>
          <w:szCs w:val="28"/>
        </w:rPr>
      </w:pPr>
      <w:bookmarkStart w:id="257" w:name="_Toc8389"/>
      <w:r>
        <w:rPr>
          <w:rFonts w:hint="eastAsia" w:ascii="方正仿宋_GBK" w:hAnsi="方正仿宋_GBK" w:eastAsia="方正仿宋_GBK" w:cs="方正仿宋_GBK"/>
          <w:szCs w:val="28"/>
        </w:rPr>
        <w:t>紧急防疫联动</w:t>
      </w:r>
      <w:bookmarkEnd w:id="257"/>
    </w:p>
    <w:p>
      <w:pPr>
        <w:ind w:firstLine="560" w:firstLineChars="200"/>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t>在交易过程中发现人员有疫情症状等紧急情况，应立即主动联系现场工作人员，并由现场工作人员立即联系属地疾控部门进行相关处置。</w:t>
      </w:r>
    </w:p>
    <w:p>
      <w:pPr>
        <w:numPr>
          <w:ilvl w:val="0"/>
          <w:numId w:val="3"/>
        </w:numPr>
        <w:ind w:firstLine="560" w:firstLineChars="200"/>
        <w:outlineLvl w:val="0"/>
        <w:rPr>
          <w:rFonts w:ascii="方正黑体_GBK" w:hAnsi="方正黑体_GBK" w:eastAsia="方正黑体_GBK" w:cs="方正黑体_GBK"/>
          <w:szCs w:val="28"/>
        </w:rPr>
      </w:pPr>
      <w:bookmarkStart w:id="258" w:name="_Toc16681"/>
      <w:r>
        <w:rPr>
          <w:rFonts w:hint="eastAsia" w:ascii="方正黑体_GBK" w:hAnsi="方正黑体_GBK" w:eastAsia="方正黑体_GBK" w:cs="方正黑体_GBK"/>
          <w:szCs w:val="28"/>
        </w:rPr>
        <w:t>开标评标工作程序</w:t>
      </w:r>
      <w:bookmarkEnd w:id="258"/>
    </w:p>
    <w:p>
      <w:pPr>
        <w:numPr>
          <w:ilvl w:val="0"/>
          <w:numId w:val="5"/>
        </w:numPr>
        <w:ind w:firstLine="560" w:firstLineChars="200"/>
        <w:outlineLvl w:val="1"/>
        <w:rPr>
          <w:rFonts w:ascii="方正楷体_GBK" w:hAnsi="方正楷体_GBK" w:eastAsia="方正楷体_GBK" w:cs="方正楷体_GBK"/>
          <w:szCs w:val="28"/>
        </w:rPr>
      </w:pPr>
      <w:bookmarkStart w:id="259" w:name="_Toc4627"/>
      <w:r>
        <w:rPr>
          <w:rFonts w:hint="eastAsia" w:ascii="方正楷体_GBK" w:hAnsi="方正楷体_GBK" w:eastAsia="方正楷体_GBK" w:cs="方正楷体_GBK"/>
          <w:szCs w:val="28"/>
        </w:rPr>
        <w:t>接标</w:t>
      </w:r>
      <w:bookmarkEnd w:id="259"/>
    </w:p>
    <w:p>
      <w:pPr>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准予进场的投标人应进入指定开标厅递交投标文件及符合防疫要求的承诺书，隔空就座，不扎堆聚集，不喧哗闲聊，不随意走动。</w:t>
      </w:r>
    </w:p>
    <w:p>
      <w:pPr>
        <w:numPr>
          <w:ilvl w:val="0"/>
          <w:numId w:val="5"/>
        </w:numPr>
        <w:ind w:firstLine="560" w:firstLineChars="200"/>
        <w:outlineLvl w:val="1"/>
        <w:rPr>
          <w:rFonts w:ascii="方正楷体_GBK" w:hAnsi="方正楷体_GBK" w:eastAsia="方正楷体_GBK" w:cs="方正楷体_GBK"/>
          <w:szCs w:val="28"/>
        </w:rPr>
      </w:pPr>
      <w:bookmarkStart w:id="260" w:name="_Toc12162"/>
      <w:r>
        <w:rPr>
          <w:rFonts w:hint="eastAsia" w:ascii="方正楷体_GBK" w:hAnsi="方正楷体_GBK" w:eastAsia="方正楷体_GBK" w:cs="方正楷体_GBK"/>
          <w:szCs w:val="28"/>
        </w:rPr>
        <w:t>开标</w:t>
      </w:r>
      <w:bookmarkEnd w:id="260"/>
    </w:p>
    <w:p>
      <w:pPr>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投标截止时间到达后，进入开标室的投标人有序参加开标会。开标结東后，若无需等待退还原件或者询标的投标人应及时离开交易现场，不得逗留。</w:t>
      </w:r>
    </w:p>
    <w:p>
      <w:pPr>
        <w:numPr>
          <w:ilvl w:val="0"/>
          <w:numId w:val="5"/>
        </w:numPr>
        <w:ind w:firstLine="560" w:firstLineChars="200"/>
        <w:outlineLvl w:val="1"/>
        <w:rPr>
          <w:rFonts w:ascii="方正楷体_GBK" w:hAnsi="方正楷体_GBK" w:eastAsia="方正楷体_GBK" w:cs="方正楷体_GBK"/>
          <w:szCs w:val="28"/>
        </w:rPr>
      </w:pPr>
      <w:bookmarkStart w:id="261" w:name="_Toc29538"/>
      <w:r>
        <w:rPr>
          <w:rFonts w:hint="eastAsia" w:ascii="方正楷体_GBK" w:hAnsi="方正楷体_GBK" w:eastAsia="方正楷体_GBK" w:cs="方正楷体_GBK"/>
          <w:szCs w:val="28"/>
        </w:rPr>
        <w:t>评标</w:t>
      </w:r>
      <w:bookmarkEnd w:id="261"/>
    </w:p>
    <w:p>
      <w:pPr>
        <w:ind w:firstLine="560" w:firstLineChars="200"/>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t>评标专家在评标室依次就坐等候评标，由采购人代表为各位评标专家传递投标文件，在传递及查看投标文件的过程中需全程佩戴口罩，并保持安全距离，尽量做到无接触传递。</w:t>
      </w:r>
    </w:p>
    <w:p>
      <w:pPr>
        <w:ind w:firstLine="560" w:firstLineChars="200"/>
        <w:rPr>
          <w:rFonts w:hint="eastAsia" w:ascii="方正仿宋_GBK" w:hAnsi="方正仿宋_GBK" w:eastAsia="方正仿宋_GBK" w:cs="方正仿宋_GBK"/>
          <w:szCs w:val="28"/>
        </w:rPr>
      </w:pPr>
    </w:p>
    <w:p>
      <w:pPr>
        <w:ind w:firstLine="560" w:firstLineChars="200"/>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t>附件：</w:t>
      </w:r>
    </w:p>
    <w:p>
      <w:pPr>
        <w:ind w:firstLine="560" w:firstLineChars="200"/>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t>1. 投标人承诺书</w:t>
      </w:r>
    </w:p>
    <w:p>
      <w:pPr>
        <w:ind w:firstLine="560" w:firstLineChars="200"/>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t>2. 评标专家承诺书</w:t>
      </w:r>
    </w:p>
    <w:p>
      <w:pPr>
        <w:ind w:firstLine="560" w:firstLineChars="200"/>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t>3. 监督人员承诺书</w:t>
      </w:r>
    </w:p>
    <w:p>
      <w:pPr>
        <w:ind w:firstLine="560" w:firstLineChars="200"/>
        <w:rPr>
          <w:rFonts w:hint="eastAsia" w:ascii="方正仿宋_GBK" w:hAnsi="方正仿宋_GBK" w:eastAsia="方正仿宋_GBK" w:cs="方正仿宋_GBK"/>
          <w:szCs w:val="28"/>
        </w:rPr>
      </w:pPr>
    </w:p>
    <w:p>
      <w:pPr>
        <w:ind w:firstLine="6440" w:firstLineChars="2300"/>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t>重庆城市管理职业学院</w:t>
      </w:r>
    </w:p>
    <w:p>
      <w:pPr>
        <w:ind w:firstLine="7000" w:firstLineChars="2500"/>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t>2020年3月30日</w:t>
      </w:r>
    </w:p>
    <w:p>
      <w:pPr>
        <w:rPr>
          <w:rFonts w:ascii="方正仿宋_GBK" w:hAnsi="方正仿宋_GBK" w:eastAsia="方正仿宋_GBK" w:cs="方正仿宋_GBK"/>
          <w:szCs w:val="28"/>
        </w:rPr>
      </w:pPr>
      <w:r>
        <w:rPr>
          <w:rFonts w:ascii="方正仿宋_GBK" w:hAnsi="方正仿宋_GBK" w:eastAsia="方正仿宋_GBK" w:cs="方正仿宋_GBK"/>
          <w:szCs w:val="28"/>
        </w:rPr>
        <w:br w:type="page"/>
      </w:r>
    </w:p>
    <w:p>
      <w:pPr>
        <w:widowControl/>
        <w:snapToGrid w:val="0"/>
        <w:spacing w:line="460" w:lineRule="exact"/>
        <w:jc w:val="left"/>
        <w:outlineLvl w:val="0"/>
        <w:rPr>
          <w:rFonts w:ascii="仿宋" w:hAnsi="仿宋" w:eastAsia="仿宋" w:cs="宋体"/>
          <w:bCs/>
          <w:kern w:val="0"/>
          <w:szCs w:val="28"/>
        </w:rPr>
      </w:pPr>
      <w:bookmarkStart w:id="262" w:name="_Toc11562"/>
      <w:r>
        <w:rPr>
          <w:rFonts w:hint="eastAsia" w:ascii="仿宋" w:hAnsi="仿宋" w:eastAsia="仿宋" w:cs="宋体"/>
          <w:bCs/>
          <w:kern w:val="0"/>
          <w:szCs w:val="28"/>
        </w:rPr>
        <w:t>附件1</w:t>
      </w:r>
      <w:bookmarkEnd w:id="262"/>
    </w:p>
    <w:p>
      <w:pPr>
        <w:widowControl/>
        <w:snapToGrid w:val="0"/>
        <w:spacing w:line="460" w:lineRule="exact"/>
        <w:jc w:val="center"/>
        <w:rPr>
          <w:rFonts w:ascii="黑体" w:hAnsi="黑体" w:eastAsia="黑体" w:cs="宋体"/>
          <w:bCs/>
          <w:kern w:val="0"/>
          <w:szCs w:val="28"/>
        </w:rPr>
      </w:pPr>
      <w:r>
        <w:rPr>
          <w:rFonts w:hint="eastAsia" w:ascii="黑体" w:hAnsi="黑体" w:eastAsia="黑体" w:cs="宋体"/>
          <w:bCs/>
          <w:kern w:val="0"/>
          <w:szCs w:val="28"/>
        </w:rPr>
        <w:t>投标人承诺书</w:t>
      </w:r>
    </w:p>
    <w:p>
      <w:pPr>
        <w:widowControl/>
        <w:snapToGrid w:val="0"/>
        <w:spacing w:line="460" w:lineRule="exact"/>
        <w:jc w:val="center"/>
        <w:rPr>
          <w:rFonts w:ascii="黑体" w:hAnsi="黑体" w:eastAsia="黑体" w:cs="宋体"/>
          <w:bCs/>
          <w:kern w:val="0"/>
          <w:szCs w:val="28"/>
        </w:rPr>
      </w:pPr>
    </w:p>
    <w:p>
      <w:pPr>
        <w:snapToGrid w:val="0"/>
        <w:spacing w:line="460" w:lineRule="exact"/>
        <w:ind w:firstLine="560" w:firstLineChars="200"/>
        <w:rPr>
          <w:rFonts w:ascii="仿宋" w:hAnsi="仿宋" w:eastAsia="仿宋" w:cs="仿宋"/>
          <w:kern w:val="0"/>
          <w:szCs w:val="28"/>
        </w:rPr>
      </w:pPr>
      <w:r>
        <w:rPr>
          <w:rFonts w:hint="eastAsia" w:ascii="仿宋" w:hAnsi="仿宋" w:eastAsia="仿宋" w:cs="仿宋"/>
          <w:kern w:val="0"/>
          <w:szCs w:val="28"/>
        </w:rPr>
        <w:t>本单位____________________承诺严格落实重庆市政府相关工作部署，遵守《中华人民共和国传染病防治法》及《关于进一步加强重庆主城九区新型冠状病毒感染的肺炎疫情防控工作的紧急通知》相关要求。本单位于</w:t>
      </w:r>
      <w:r>
        <w:rPr>
          <w:rFonts w:hint="eastAsia" w:ascii="仿宋" w:hAnsi="仿宋" w:eastAsia="仿宋" w:cs="仿宋"/>
          <w:kern w:val="0"/>
          <w:szCs w:val="28"/>
          <w:u w:val="single"/>
        </w:rPr>
        <w:t xml:space="preserve">   </w:t>
      </w:r>
      <w:r>
        <w:rPr>
          <w:rFonts w:hint="eastAsia" w:ascii="仿宋" w:hAnsi="仿宋" w:eastAsia="仿宋" w:cs="仿宋"/>
          <w:kern w:val="0"/>
          <w:szCs w:val="28"/>
        </w:rPr>
        <w:t>年</w:t>
      </w:r>
      <w:r>
        <w:rPr>
          <w:rFonts w:hint="eastAsia" w:ascii="仿宋" w:hAnsi="仿宋" w:eastAsia="仿宋" w:cs="仿宋"/>
          <w:kern w:val="0"/>
          <w:szCs w:val="28"/>
          <w:u w:val="single"/>
        </w:rPr>
        <w:t xml:space="preserve">   </w:t>
      </w:r>
      <w:r>
        <w:rPr>
          <w:rFonts w:hint="eastAsia" w:ascii="仿宋" w:hAnsi="仿宋" w:eastAsia="仿宋" w:cs="仿宋"/>
          <w:kern w:val="0"/>
          <w:szCs w:val="28"/>
        </w:rPr>
        <w:t>月</w:t>
      </w:r>
      <w:r>
        <w:rPr>
          <w:rFonts w:hint="eastAsia" w:ascii="仿宋" w:hAnsi="仿宋" w:eastAsia="仿宋" w:cs="仿宋"/>
          <w:kern w:val="0"/>
          <w:szCs w:val="28"/>
          <w:u w:val="single"/>
        </w:rPr>
        <w:t xml:space="preserve">   </w:t>
      </w:r>
      <w:r>
        <w:rPr>
          <w:rFonts w:hint="eastAsia" w:ascii="仿宋" w:hAnsi="仿宋" w:eastAsia="仿宋" w:cs="仿宋"/>
          <w:kern w:val="0"/>
          <w:szCs w:val="28"/>
        </w:rPr>
        <w:t>日参加_________________ 项目的开标活动。本单位承诺在开标过程中做到以下几点：</w:t>
      </w:r>
    </w:p>
    <w:p>
      <w:pPr>
        <w:snapToGrid w:val="0"/>
        <w:spacing w:line="460" w:lineRule="exact"/>
        <w:ind w:firstLine="560" w:firstLineChars="200"/>
        <w:rPr>
          <w:rFonts w:ascii="仿宋" w:hAnsi="仿宋" w:eastAsia="仿宋" w:cs="仿宋"/>
          <w:kern w:val="0"/>
          <w:szCs w:val="28"/>
        </w:rPr>
      </w:pPr>
      <w:r>
        <w:rPr>
          <w:rFonts w:hint="eastAsia" w:ascii="仿宋" w:hAnsi="仿宋" w:eastAsia="仿宋" w:cs="仿宋"/>
          <w:kern w:val="0"/>
          <w:szCs w:val="28"/>
        </w:rPr>
        <w:t>1．参与投标人员积极配合交易场所工作人员进行体温检测和人员信息登记。不符合防控管理要求的人员，不进入开标场所。</w:t>
      </w:r>
    </w:p>
    <w:p>
      <w:pPr>
        <w:snapToGrid w:val="0"/>
        <w:spacing w:line="460" w:lineRule="exact"/>
        <w:ind w:firstLine="560" w:firstLineChars="200"/>
        <w:rPr>
          <w:rFonts w:ascii="仿宋" w:hAnsi="仿宋" w:eastAsia="仿宋" w:cs="仿宋"/>
          <w:kern w:val="0"/>
          <w:szCs w:val="28"/>
        </w:rPr>
      </w:pPr>
      <w:r>
        <w:rPr>
          <w:rFonts w:hint="eastAsia" w:ascii="仿宋" w:hAnsi="仿宋" w:eastAsia="仿宋" w:cs="仿宋"/>
          <w:kern w:val="0"/>
          <w:szCs w:val="28"/>
        </w:rPr>
        <w:t>2．参加投标人员自觉做好个人防护，全程佩戴口罩，听从交易场所工作人员的引导。</w:t>
      </w:r>
    </w:p>
    <w:p>
      <w:pPr>
        <w:snapToGrid w:val="0"/>
        <w:spacing w:line="460" w:lineRule="exact"/>
        <w:ind w:firstLine="560" w:firstLineChars="200"/>
        <w:rPr>
          <w:rFonts w:ascii="仿宋" w:hAnsi="仿宋" w:eastAsia="仿宋" w:cs="仿宋"/>
          <w:kern w:val="0"/>
          <w:szCs w:val="28"/>
        </w:rPr>
      </w:pPr>
      <w:r>
        <w:rPr>
          <w:rFonts w:hint="eastAsia" w:ascii="仿宋" w:hAnsi="仿宋" w:eastAsia="仿宋" w:cs="仿宋"/>
          <w:kern w:val="0"/>
          <w:szCs w:val="28"/>
        </w:rPr>
        <w:t>3．本单位所派投标人员</w:t>
      </w:r>
      <w:r>
        <w:rPr>
          <w:rFonts w:hint="eastAsia" w:ascii="仿宋" w:hAnsi="仿宋" w:eastAsia="仿宋" w:cs="仿宋"/>
          <w:kern w:val="0"/>
          <w:szCs w:val="28"/>
          <w:u w:val="single"/>
        </w:rPr>
        <w:t xml:space="preserve">       </w:t>
      </w:r>
      <w:r>
        <w:rPr>
          <w:rFonts w:hint="eastAsia" w:ascii="仿宋" w:hAnsi="仿宋" w:eastAsia="仿宋" w:cs="仿宋"/>
          <w:kern w:val="0"/>
          <w:szCs w:val="28"/>
        </w:rPr>
        <w:t>（姓名），</w:t>
      </w:r>
      <w:r>
        <w:rPr>
          <w:rFonts w:hint="eastAsia" w:ascii="仿宋" w:hAnsi="仿宋" w:eastAsia="仿宋" w:cs="仿宋"/>
          <w:kern w:val="0"/>
          <w:szCs w:val="28"/>
          <w:u w:val="single"/>
        </w:rPr>
        <w:t xml:space="preserve">          </w:t>
      </w:r>
      <w:r>
        <w:rPr>
          <w:rFonts w:hint="eastAsia" w:ascii="仿宋" w:hAnsi="仿宋" w:eastAsia="仿宋" w:cs="仿宋"/>
          <w:kern w:val="0"/>
          <w:szCs w:val="28"/>
        </w:rPr>
        <w:t>（身份证号码），</w:t>
      </w:r>
      <w:r>
        <w:rPr>
          <w:rFonts w:hint="eastAsia" w:ascii="仿宋" w:hAnsi="仿宋" w:eastAsia="仿宋" w:cs="仿宋"/>
          <w:kern w:val="0"/>
          <w:szCs w:val="28"/>
          <w:u w:val="single"/>
        </w:rPr>
        <w:t xml:space="preserve">           </w:t>
      </w:r>
      <w:r>
        <w:rPr>
          <w:rFonts w:hint="eastAsia" w:ascii="仿宋" w:hAnsi="仿宋" w:eastAsia="仿宋" w:cs="仿宋"/>
          <w:kern w:val="0"/>
          <w:szCs w:val="28"/>
        </w:rPr>
        <w:t>（联系电话），在</w:t>
      </w:r>
      <w:r>
        <w:rPr>
          <w:rFonts w:hint="eastAsia" w:ascii="仿宋" w:hAnsi="仿宋" w:eastAsia="仿宋" w:cs="仿宋"/>
          <w:kern w:val="0"/>
          <w:szCs w:val="28"/>
          <w:u w:val="single"/>
        </w:rPr>
        <w:t>        </w:t>
      </w:r>
      <w:r>
        <w:rPr>
          <w:rFonts w:hint="eastAsia" w:ascii="仿宋" w:hAnsi="仿宋" w:eastAsia="仿宋" w:cs="仿宋"/>
          <w:kern w:val="0"/>
          <w:szCs w:val="28"/>
        </w:rPr>
        <w:t>（省、市）居住，非中高风险地区返渝人员，非与疾控中心确诊者有密切接触人员，非重庆本地居民有可疑症状人员，目前身体状况良好。</w:t>
      </w:r>
    </w:p>
    <w:p>
      <w:pPr>
        <w:snapToGrid w:val="0"/>
        <w:spacing w:line="460" w:lineRule="exact"/>
        <w:ind w:firstLine="560" w:firstLineChars="200"/>
        <w:rPr>
          <w:rFonts w:ascii="仿宋" w:hAnsi="仿宋" w:eastAsia="仿宋" w:cs="仿宋"/>
          <w:kern w:val="0"/>
          <w:szCs w:val="28"/>
        </w:rPr>
      </w:pPr>
      <w:r>
        <w:rPr>
          <w:rFonts w:hint="eastAsia" w:ascii="仿宋" w:hAnsi="仿宋" w:eastAsia="仿宋" w:cs="仿宋"/>
          <w:kern w:val="0"/>
          <w:szCs w:val="28"/>
        </w:rPr>
        <w:t>4．本单位保证做好投标前期的各项准备工作，提前到达开标区域，避免因工作疏忽导致时间拖延，造成人员聚集。</w:t>
      </w:r>
    </w:p>
    <w:p>
      <w:pPr>
        <w:snapToGrid w:val="0"/>
        <w:spacing w:line="460" w:lineRule="exact"/>
        <w:ind w:firstLine="560" w:firstLineChars="200"/>
        <w:rPr>
          <w:rFonts w:ascii="仿宋" w:hAnsi="仿宋" w:eastAsia="仿宋" w:cs="仿宋"/>
          <w:kern w:val="0"/>
          <w:szCs w:val="28"/>
        </w:rPr>
      </w:pPr>
      <w:r>
        <w:rPr>
          <w:rFonts w:hint="eastAsia" w:ascii="仿宋" w:hAnsi="仿宋" w:eastAsia="仿宋" w:cs="仿宋"/>
          <w:kern w:val="0"/>
          <w:szCs w:val="28"/>
        </w:rPr>
        <w:t>5．开标活动结束后，本单位人员迅速离场，不逗留。</w:t>
      </w:r>
    </w:p>
    <w:p>
      <w:pPr>
        <w:snapToGrid w:val="0"/>
        <w:spacing w:line="460" w:lineRule="exact"/>
        <w:ind w:firstLine="560" w:firstLineChars="200"/>
        <w:rPr>
          <w:rFonts w:ascii="仿宋" w:hAnsi="仿宋" w:eastAsia="仿宋" w:cs="仿宋"/>
          <w:kern w:val="0"/>
          <w:szCs w:val="28"/>
        </w:rPr>
      </w:pPr>
      <w:r>
        <w:rPr>
          <w:rFonts w:hint="eastAsia" w:ascii="仿宋" w:hAnsi="仿宋" w:eastAsia="仿宋" w:cs="仿宋"/>
          <w:kern w:val="0"/>
          <w:szCs w:val="28"/>
        </w:rPr>
        <w:t>6.</w:t>
      </w:r>
      <w:r>
        <w:rPr>
          <w:rFonts w:hint="eastAsia" w:ascii="仿宋" w:hAnsi="仿宋" w:eastAsia="仿宋" w:cs="仿宋"/>
          <w:szCs w:val="28"/>
        </w:rPr>
        <w:t xml:space="preserve"> 如果所派人员出现疫情防控要求需留观、隔离的，由投标人自行负责，视为放弃派员参加</w:t>
      </w:r>
      <w:r>
        <w:rPr>
          <w:rFonts w:hint="eastAsia" w:ascii="仿宋" w:hAnsi="仿宋" w:eastAsia="仿宋" w:cs="仿宋"/>
          <w:kern w:val="0"/>
          <w:szCs w:val="28"/>
        </w:rPr>
        <w:t>。</w:t>
      </w:r>
    </w:p>
    <w:p>
      <w:pPr>
        <w:snapToGrid w:val="0"/>
        <w:spacing w:line="460" w:lineRule="exact"/>
        <w:ind w:firstLine="592" w:firstLineChars="200"/>
        <w:rPr>
          <w:rFonts w:ascii="仿宋" w:hAnsi="仿宋" w:eastAsia="仿宋" w:cs="仿宋"/>
          <w:kern w:val="0"/>
          <w:szCs w:val="28"/>
        </w:rPr>
      </w:pPr>
      <w:r>
        <w:rPr>
          <w:rFonts w:hint="eastAsia" w:ascii="仿宋" w:hAnsi="仿宋" w:eastAsia="仿宋" w:cs="仿宋"/>
          <w:spacing w:val="8"/>
          <w:szCs w:val="28"/>
        </w:rPr>
        <w:t>7.我已经了解《中华人民共和国传染病防治法》《中华人民共和国刑法》等法律法规要求个人须承担的义务和责任。我承诺不瞒报、不谎报实际情况，必要时按照规定进行医学治疗和隔离观察，做好个人防护和卫生，不影响到旁人。如有违反，我自愿承担法律责任，接受学校相关处罚。</w:t>
      </w:r>
    </w:p>
    <w:p>
      <w:pPr>
        <w:snapToGrid w:val="0"/>
        <w:spacing w:line="460" w:lineRule="exact"/>
        <w:ind w:firstLine="5320" w:firstLineChars="1900"/>
        <w:rPr>
          <w:rFonts w:ascii="仿宋" w:hAnsi="仿宋" w:eastAsia="仿宋" w:cs="仿宋"/>
          <w:kern w:val="0"/>
          <w:szCs w:val="28"/>
        </w:rPr>
      </w:pPr>
      <w:r>
        <w:rPr>
          <w:rFonts w:hint="eastAsia" w:ascii="仿宋" w:hAnsi="仿宋" w:eastAsia="仿宋" w:cs="仿宋"/>
          <w:kern w:val="0"/>
          <w:szCs w:val="28"/>
        </w:rPr>
        <w:t>承诺人（公章）：</w:t>
      </w:r>
      <w:r>
        <w:rPr>
          <w:rFonts w:hint="eastAsia" w:ascii="仿宋" w:hAnsi="仿宋" w:eastAsia="仿宋" w:cs="仿宋"/>
          <w:kern w:val="0"/>
          <w:szCs w:val="28"/>
        </w:rPr>
        <w:br w:type="textWrapping"/>
      </w:r>
      <w:r>
        <w:rPr>
          <w:rFonts w:hint="eastAsia" w:ascii="仿宋" w:hAnsi="仿宋" w:eastAsia="仿宋" w:cs="仿宋"/>
          <w:kern w:val="0"/>
          <w:szCs w:val="28"/>
        </w:rPr>
        <w:t>                                       年   月   日</w:t>
      </w:r>
    </w:p>
    <w:p>
      <w:pPr>
        <w:snapToGrid w:val="0"/>
        <w:spacing w:line="500" w:lineRule="exact"/>
        <w:outlineLvl w:val="0"/>
        <w:rPr>
          <w:rFonts w:ascii="仿宋" w:hAnsi="仿宋" w:eastAsia="仿宋" w:cs="宋体"/>
          <w:kern w:val="0"/>
          <w:sz w:val="30"/>
          <w:szCs w:val="30"/>
        </w:rPr>
      </w:pPr>
      <w:r>
        <w:rPr>
          <w:rFonts w:hint="eastAsia" w:ascii="宋体" w:hAnsi="宋体" w:cs="宋体"/>
          <w:kern w:val="0"/>
          <w:szCs w:val="28"/>
        </w:rPr>
        <w:br w:type="page"/>
      </w:r>
      <w:bookmarkStart w:id="263" w:name="_Toc8654"/>
      <w:r>
        <w:rPr>
          <w:rFonts w:hint="eastAsia" w:ascii="仿宋" w:hAnsi="仿宋" w:eastAsia="仿宋" w:cs="宋体"/>
          <w:bCs/>
          <w:kern w:val="0"/>
          <w:sz w:val="30"/>
          <w:szCs w:val="30"/>
        </w:rPr>
        <w:t>附件2</w:t>
      </w:r>
      <w:bookmarkEnd w:id="263"/>
    </w:p>
    <w:p>
      <w:pPr>
        <w:widowControl/>
        <w:shd w:val="clear" w:color="auto" w:fill="FFFFFF"/>
        <w:snapToGrid w:val="0"/>
        <w:spacing w:line="500" w:lineRule="exact"/>
        <w:jc w:val="center"/>
        <w:textAlignment w:val="baseline"/>
        <w:rPr>
          <w:rFonts w:ascii="黑体" w:hAnsi="黑体" w:eastAsia="黑体" w:cs="宋体"/>
          <w:bCs/>
          <w:spacing w:val="8"/>
          <w:kern w:val="0"/>
          <w:sz w:val="32"/>
          <w:szCs w:val="32"/>
        </w:rPr>
      </w:pPr>
      <w:r>
        <w:rPr>
          <w:rFonts w:hint="eastAsia" w:ascii="黑体" w:hAnsi="黑体" w:eastAsia="黑体" w:cs="宋体"/>
          <w:bCs/>
          <w:spacing w:val="8"/>
          <w:kern w:val="0"/>
          <w:sz w:val="36"/>
          <w:szCs w:val="36"/>
        </w:rPr>
        <w:t>评标专家承诺书</w:t>
      </w:r>
    </w:p>
    <w:p>
      <w:pPr>
        <w:widowControl/>
        <w:shd w:val="clear" w:color="auto" w:fill="FFFFFF"/>
        <w:snapToGrid w:val="0"/>
        <w:spacing w:line="500" w:lineRule="exact"/>
        <w:jc w:val="center"/>
        <w:textAlignment w:val="baseline"/>
        <w:rPr>
          <w:rFonts w:ascii="黑体" w:hAnsi="黑体" w:eastAsia="黑体" w:cs="宋体"/>
          <w:spacing w:val="8"/>
          <w:kern w:val="0"/>
          <w:sz w:val="32"/>
          <w:szCs w:val="32"/>
        </w:rPr>
      </w:pPr>
    </w:p>
    <w:p>
      <w:pPr>
        <w:snapToGrid w:val="0"/>
        <w:spacing w:line="50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本人姓名：______，单位名称：__________，身份证号码：______________，联系方式：____________，参加</w:t>
      </w:r>
      <w:r>
        <w:rPr>
          <w:rFonts w:hint="eastAsia" w:ascii="仿宋" w:hAnsi="仿宋" w:eastAsia="仿宋" w:cs="仿宋"/>
          <w:kern w:val="0"/>
          <w:sz w:val="30"/>
          <w:szCs w:val="30"/>
          <w:u w:val="single"/>
        </w:rPr>
        <w:t>  </w:t>
      </w:r>
      <w:r>
        <w:rPr>
          <w:rFonts w:hint="eastAsia" w:ascii="仿宋" w:hAnsi="仿宋" w:eastAsia="仿宋" w:cs="仿宋"/>
          <w:kern w:val="0"/>
          <w:sz w:val="30"/>
          <w:szCs w:val="30"/>
        </w:rPr>
        <w:t>年</w:t>
      </w:r>
      <w:r>
        <w:rPr>
          <w:rFonts w:hint="eastAsia" w:ascii="仿宋" w:hAnsi="仿宋" w:eastAsia="仿宋" w:cs="仿宋"/>
          <w:kern w:val="0"/>
          <w:sz w:val="30"/>
          <w:szCs w:val="30"/>
          <w:u w:val="single"/>
        </w:rPr>
        <w:t> </w:t>
      </w:r>
      <w:r>
        <w:rPr>
          <w:rFonts w:hint="eastAsia" w:ascii="仿宋" w:hAnsi="仿宋" w:eastAsia="仿宋" w:cs="仿宋"/>
          <w:kern w:val="0"/>
          <w:sz w:val="30"/>
          <w:szCs w:val="30"/>
        </w:rPr>
        <w:t>月</w:t>
      </w:r>
      <w:r>
        <w:rPr>
          <w:rFonts w:hint="eastAsia" w:ascii="仿宋" w:hAnsi="仿宋" w:eastAsia="仿宋" w:cs="仿宋"/>
          <w:kern w:val="0"/>
          <w:sz w:val="30"/>
          <w:szCs w:val="30"/>
          <w:u w:val="single"/>
        </w:rPr>
        <w:t>  </w:t>
      </w:r>
      <w:r>
        <w:rPr>
          <w:rFonts w:hint="eastAsia" w:ascii="仿宋" w:hAnsi="仿宋" w:eastAsia="仿宋" w:cs="仿宋"/>
          <w:kern w:val="0"/>
          <w:sz w:val="30"/>
          <w:szCs w:val="30"/>
        </w:rPr>
        <w:t>日的评标活动。本人承诺严格落实党中央、国务院以及重庆市政府相关工作部署，遵守《中华人民共和国传染病防治法》及《关于进一步加强重庆主城九区新型冠状病毒感染的肺炎疫情防控工作的紧急通知》相关要求。本人承诺在评标过程中做到以下几点：</w:t>
      </w:r>
    </w:p>
    <w:p>
      <w:pPr>
        <w:snapToGrid w:val="0"/>
        <w:spacing w:line="50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1．本人非中高风险地区返渝人员，非与疾控中心确诊者有密切接触人员，非重庆本地居民有可疑症状人员，未有发热、咳嗽、胸闷、乏力等症状，目前身体状况良好。如不严格按照此要求导致不能参与评标的一切损失自行负责。</w:t>
      </w:r>
    </w:p>
    <w:p>
      <w:pPr>
        <w:snapToGrid w:val="0"/>
        <w:spacing w:line="50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2．本人配合工作人员进行体温检测和人员信息登记。</w:t>
      </w:r>
    </w:p>
    <w:p>
      <w:pPr>
        <w:snapToGrid w:val="0"/>
        <w:spacing w:line="50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3．本人提前到达评标区域，自觉做好个人防护，全程佩戴口罩，严格遵守现场管理规定，听从现场工作人员的引导。</w:t>
      </w:r>
    </w:p>
    <w:p>
      <w:pPr>
        <w:snapToGrid w:val="0"/>
        <w:spacing w:line="50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4．评标结束后，本人迅速离场，不在公共区域内停留。</w:t>
      </w:r>
    </w:p>
    <w:p>
      <w:pPr>
        <w:snapToGrid w:val="0"/>
        <w:spacing w:line="460" w:lineRule="exact"/>
        <w:ind w:firstLine="592" w:firstLineChars="200"/>
        <w:rPr>
          <w:rFonts w:ascii="仿宋" w:hAnsi="仿宋" w:eastAsia="仿宋" w:cs="仿宋"/>
          <w:kern w:val="0"/>
          <w:szCs w:val="28"/>
        </w:rPr>
      </w:pPr>
      <w:r>
        <w:rPr>
          <w:rFonts w:hint="eastAsia" w:ascii="仿宋" w:hAnsi="仿宋" w:eastAsia="仿宋" w:cs="仿宋"/>
          <w:spacing w:val="8"/>
          <w:szCs w:val="28"/>
        </w:rPr>
        <w:t>5.我已经了解《中华人民共和国传染病防治法》《中华人民共和国刑法》等法律法规要求个人须承担的义务和责任。我承诺不瞒报、不谎报实际情况，必要时按照规定进行医学治疗和隔离观察，做好个人防护和卫生，不影响到旁人。如有违反，我自愿承担法律责任，接受学校相关处罚。</w:t>
      </w:r>
    </w:p>
    <w:p>
      <w:pPr>
        <w:snapToGrid w:val="0"/>
        <w:spacing w:line="500" w:lineRule="exact"/>
        <w:ind w:firstLine="450" w:firstLineChars="150"/>
        <w:rPr>
          <w:rFonts w:ascii="仿宋" w:hAnsi="仿宋" w:eastAsia="仿宋" w:cs="仿宋"/>
          <w:kern w:val="0"/>
          <w:sz w:val="30"/>
          <w:szCs w:val="30"/>
        </w:rPr>
      </w:pPr>
    </w:p>
    <w:p>
      <w:pPr>
        <w:snapToGrid w:val="0"/>
        <w:spacing w:line="500" w:lineRule="exact"/>
        <w:ind w:firstLine="3900" w:firstLineChars="1300"/>
        <w:rPr>
          <w:rFonts w:ascii="仿宋" w:hAnsi="仿宋" w:eastAsia="仿宋" w:cs="仿宋"/>
          <w:kern w:val="0"/>
          <w:sz w:val="30"/>
          <w:szCs w:val="30"/>
        </w:rPr>
      </w:pPr>
      <w:r>
        <w:rPr>
          <w:rFonts w:hint="eastAsia" w:ascii="仿宋" w:hAnsi="仿宋" w:eastAsia="仿宋" w:cs="仿宋"/>
          <w:kern w:val="0"/>
          <w:sz w:val="30"/>
          <w:szCs w:val="30"/>
        </w:rPr>
        <w:t>   承诺人（签字）：</w:t>
      </w:r>
      <w:r>
        <w:rPr>
          <w:rFonts w:hint="eastAsia" w:ascii="仿宋" w:hAnsi="仿宋" w:eastAsia="仿宋" w:cs="仿宋"/>
          <w:kern w:val="0"/>
          <w:sz w:val="30"/>
          <w:szCs w:val="30"/>
        </w:rPr>
        <w:br w:type="textWrapping"/>
      </w:r>
      <w:r>
        <w:rPr>
          <w:rFonts w:hint="eastAsia" w:ascii="仿宋" w:hAnsi="仿宋" w:eastAsia="仿宋" w:cs="仿宋"/>
          <w:kern w:val="0"/>
          <w:sz w:val="30"/>
          <w:szCs w:val="30"/>
        </w:rPr>
        <w:t>                              年   月   日</w:t>
      </w:r>
    </w:p>
    <w:p>
      <w:pPr>
        <w:rPr>
          <w:rFonts w:ascii="仿宋" w:hAnsi="仿宋" w:eastAsia="仿宋" w:cs="仿宋"/>
          <w:kern w:val="0"/>
          <w:sz w:val="30"/>
          <w:szCs w:val="30"/>
        </w:rPr>
      </w:pPr>
    </w:p>
    <w:p>
      <w:pPr>
        <w:rPr>
          <w:rFonts w:ascii="仿宋" w:hAnsi="仿宋" w:eastAsia="仿宋" w:cs="仿宋"/>
          <w:kern w:val="0"/>
          <w:sz w:val="30"/>
          <w:szCs w:val="30"/>
        </w:rPr>
      </w:pPr>
      <w:r>
        <w:rPr>
          <w:rFonts w:hint="eastAsia" w:ascii="仿宋" w:hAnsi="仿宋" w:eastAsia="仿宋" w:cs="仿宋"/>
          <w:kern w:val="0"/>
          <w:sz w:val="30"/>
          <w:szCs w:val="30"/>
        </w:rPr>
        <w:br w:type="page"/>
      </w:r>
    </w:p>
    <w:p>
      <w:pPr>
        <w:widowControl/>
        <w:snapToGrid w:val="0"/>
        <w:spacing w:line="500" w:lineRule="exact"/>
        <w:ind w:left="3150" w:hanging="3150" w:hangingChars="1050"/>
        <w:jc w:val="left"/>
        <w:outlineLvl w:val="0"/>
        <w:rPr>
          <w:rFonts w:ascii="黑体" w:hAnsi="黑体" w:eastAsia="黑体" w:cs="宋体"/>
          <w:bCs/>
          <w:spacing w:val="8"/>
          <w:kern w:val="0"/>
          <w:sz w:val="32"/>
          <w:szCs w:val="32"/>
        </w:rPr>
      </w:pPr>
      <w:bookmarkStart w:id="264" w:name="_Toc1886"/>
      <w:r>
        <w:rPr>
          <w:rFonts w:hint="eastAsia" w:ascii="仿宋" w:hAnsi="仿宋" w:eastAsia="仿宋" w:cs="宋体"/>
          <w:bCs/>
          <w:kern w:val="0"/>
          <w:sz w:val="30"/>
          <w:szCs w:val="30"/>
        </w:rPr>
        <w:t>附件3</w:t>
      </w:r>
      <w:r>
        <w:rPr>
          <w:rFonts w:ascii="仿宋" w:hAnsi="仿宋" w:eastAsia="仿宋" w:cs="宋体"/>
          <w:kern w:val="0"/>
          <w:sz w:val="30"/>
          <w:szCs w:val="30"/>
        </w:rPr>
        <w:br w:type="textWrapping"/>
      </w:r>
      <w:r>
        <w:rPr>
          <w:rFonts w:hint="eastAsia" w:ascii="黑体" w:hAnsi="黑体" w:eastAsia="黑体" w:cs="宋体"/>
          <w:bCs/>
          <w:spacing w:val="8"/>
          <w:kern w:val="0"/>
          <w:sz w:val="36"/>
          <w:szCs w:val="36"/>
        </w:rPr>
        <w:t>监督人员承诺书</w:t>
      </w:r>
      <w:bookmarkEnd w:id="264"/>
    </w:p>
    <w:p>
      <w:pPr>
        <w:widowControl/>
        <w:shd w:val="clear" w:color="auto" w:fill="FFFFFF"/>
        <w:snapToGrid w:val="0"/>
        <w:spacing w:line="500" w:lineRule="exact"/>
        <w:jc w:val="center"/>
        <w:textAlignment w:val="baseline"/>
        <w:rPr>
          <w:rFonts w:ascii="黑体" w:hAnsi="黑体" w:eastAsia="黑体" w:cs="宋体"/>
          <w:spacing w:val="8"/>
          <w:kern w:val="0"/>
          <w:sz w:val="32"/>
          <w:szCs w:val="32"/>
        </w:rPr>
      </w:pPr>
    </w:p>
    <w:p>
      <w:pPr>
        <w:snapToGrid w:val="0"/>
        <w:spacing w:line="50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本人姓名：______，单位名称：__________，身份证号码：______________，联系方式：____________，负责</w:t>
      </w:r>
      <w:r>
        <w:rPr>
          <w:rFonts w:hint="eastAsia" w:ascii="宋体" w:hAnsi="宋体" w:eastAsia="仿宋" w:cs="宋体"/>
          <w:kern w:val="0"/>
          <w:sz w:val="30"/>
          <w:szCs w:val="30"/>
          <w:u w:val="single"/>
        </w:rPr>
        <w:t>  </w:t>
      </w:r>
      <w:r>
        <w:rPr>
          <w:rFonts w:hint="eastAsia" w:ascii="仿宋" w:hAnsi="仿宋" w:eastAsia="仿宋" w:cs="宋体"/>
          <w:kern w:val="0"/>
          <w:sz w:val="30"/>
          <w:szCs w:val="30"/>
        </w:rPr>
        <w:t>年</w:t>
      </w:r>
      <w:r>
        <w:rPr>
          <w:rFonts w:hint="eastAsia" w:ascii="宋体" w:hAnsi="宋体" w:eastAsia="仿宋" w:cs="宋体"/>
          <w:kern w:val="0"/>
          <w:sz w:val="30"/>
          <w:szCs w:val="30"/>
          <w:u w:val="single"/>
        </w:rPr>
        <w:t> </w:t>
      </w:r>
      <w:r>
        <w:rPr>
          <w:rFonts w:hint="eastAsia" w:ascii="仿宋" w:hAnsi="仿宋" w:eastAsia="仿宋" w:cs="宋体"/>
          <w:kern w:val="0"/>
          <w:sz w:val="30"/>
          <w:szCs w:val="30"/>
        </w:rPr>
        <w:t>月</w:t>
      </w:r>
      <w:r>
        <w:rPr>
          <w:rFonts w:hint="eastAsia" w:ascii="宋体" w:hAnsi="宋体" w:eastAsia="仿宋" w:cs="宋体"/>
          <w:kern w:val="0"/>
          <w:sz w:val="30"/>
          <w:szCs w:val="30"/>
          <w:u w:val="single"/>
        </w:rPr>
        <w:t>  </w:t>
      </w:r>
      <w:r>
        <w:rPr>
          <w:rFonts w:hint="eastAsia" w:ascii="仿宋" w:hAnsi="仿宋" w:eastAsia="仿宋" w:cs="宋体"/>
          <w:kern w:val="0"/>
          <w:sz w:val="30"/>
          <w:szCs w:val="30"/>
        </w:rPr>
        <w:t>日</w:t>
      </w:r>
      <w:r>
        <w:rPr>
          <w:rFonts w:hint="eastAsia" w:ascii="仿宋" w:hAnsi="仿宋" w:eastAsia="仿宋" w:cs="宋体"/>
          <w:kern w:val="0"/>
          <w:sz w:val="30"/>
          <w:szCs w:val="30"/>
          <w:u w:val="single"/>
        </w:rPr>
        <w:t xml:space="preserve">                </w:t>
      </w:r>
      <w:r>
        <w:rPr>
          <w:rFonts w:hint="eastAsia" w:ascii="仿宋" w:hAnsi="仿宋" w:eastAsia="仿宋" w:cs="宋体"/>
          <w:kern w:val="0"/>
          <w:sz w:val="30"/>
          <w:szCs w:val="30"/>
        </w:rPr>
        <w:t xml:space="preserve"> 项目的现场交易活动监督。本人承诺严格落实党中央、国务院以及重庆市政府相关工作部署，遵守《中华人民共和国传染病防治法》及《关于进一步加强重庆主城九区新型冠状病毒感染的肺炎疫情防控工作的紧急通知》相关要求。本人承诺在履职过程中做到以下几点：</w:t>
      </w:r>
    </w:p>
    <w:p>
      <w:pPr>
        <w:snapToGrid w:val="0"/>
        <w:spacing w:line="50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1.本人非中高风险地区返渝人员，非与疾控中心确诊者有密切接触人员，非重庆本地居民有可疑症状人员，未有发热、咳嗽、胸闷、乏力等症状，目前身体状况良好。如不严格按照此要求导致不能参与评标的一切损失自行负责。</w:t>
      </w:r>
    </w:p>
    <w:p>
      <w:pPr>
        <w:snapToGrid w:val="0"/>
        <w:spacing w:line="50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2．本人配合工作人员进行体温检测和人员信息登记。</w:t>
      </w:r>
    </w:p>
    <w:p>
      <w:pPr>
        <w:snapToGrid w:val="0"/>
        <w:spacing w:line="50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3．本人提前到达开标现场，自觉做好个人防护，全程佩戴口罩，严格遵守现场管理规定，听从现场工作人员的引导。</w:t>
      </w:r>
    </w:p>
    <w:p>
      <w:pPr>
        <w:snapToGrid w:val="0"/>
        <w:spacing w:line="50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4．监督结束后，本人迅速离场，不在公共区域内停留。</w:t>
      </w:r>
    </w:p>
    <w:p>
      <w:pPr>
        <w:snapToGrid w:val="0"/>
        <w:spacing w:line="500" w:lineRule="exact"/>
        <w:ind w:firstLine="592" w:firstLineChars="200"/>
        <w:jc w:val="left"/>
        <w:rPr>
          <w:rFonts w:ascii="仿宋" w:hAnsi="仿宋" w:eastAsia="仿宋" w:cs="仿宋"/>
          <w:spacing w:val="8"/>
          <w:szCs w:val="28"/>
        </w:rPr>
      </w:pPr>
      <w:r>
        <w:rPr>
          <w:rFonts w:hint="eastAsia" w:ascii="仿宋" w:hAnsi="仿宋" w:eastAsia="仿宋" w:cs="仿宋"/>
          <w:spacing w:val="8"/>
          <w:szCs w:val="28"/>
        </w:rPr>
        <w:t>5.我已经了解《中华人民共和国传染病防治法》《中华人民共和国刑法》等法律法规要求个人须承担的义务和责任。我承诺不瞒报、不谎报实际情况，必要时按照规定进行医学治疗和隔离观察，做好个人防护和卫生，不影响到旁人。如有违反，我自愿承担法律责任，接受学校相关处罚。</w:t>
      </w:r>
    </w:p>
    <w:p>
      <w:pPr>
        <w:snapToGrid w:val="0"/>
        <w:spacing w:line="500" w:lineRule="exact"/>
        <w:ind w:firstLine="592" w:firstLineChars="200"/>
        <w:jc w:val="left"/>
        <w:rPr>
          <w:rFonts w:ascii="仿宋" w:hAnsi="仿宋" w:eastAsia="仿宋" w:cs="仿宋"/>
          <w:spacing w:val="8"/>
          <w:szCs w:val="28"/>
        </w:rPr>
      </w:pPr>
    </w:p>
    <w:p>
      <w:pPr>
        <w:snapToGrid w:val="0"/>
        <w:spacing w:line="500" w:lineRule="exact"/>
        <w:ind w:firstLine="3900" w:firstLineChars="1300"/>
        <w:rPr>
          <w:rFonts w:ascii="方正仿宋_GBK" w:hAnsi="方正仿宋_GBK" w:eastAsia="方正仿宋_GBK" w:cs="方正仿宋_GBK"/>
          <w:sz w:val="32"/>
          <w:szCs w:val="32"/>
        </w:rPr>
      </w:pPr>
      <w:r>
        <w:rPr>
          <w:rFonts w:hint="eastAsia" w:ascii="宋体" w:hAnsi="宋体" w:eastAsia="仿宋" w:cs="宋体"/>
          <w:kern w:val="0"/>
          <w:sz w:val="30"/>
          <w:szCs w:val="30"/>
        </w:rPr>
        <w:t xml:space="preserve">   </w:t>
      </w:r>
      <w:r>
        <w:rPr>
          <w:rFonts w:hint="eastAsia" w:ascii="仿宋" w:hAnsi="仿宋" w:eastAsia="仿宋" w:cs="宋体"/>
          <w:kern w:val="0"/>
          <w:sz w:val="30"/>
          <w:szCs w:val="30"/>
        </w:rPr>
        <w:t xml:space="preserve"> 承诺人（签字）：</w:t>
      </w:r>
      <w:r>
        <w:rPr>
          <w:rFonts w:hint="eastAsia" w:ascii="仿宋" w:hAnsi="仿宋" w:eastAsia="仿宋" w:cs="宋体"/>
          <w:kern w:val="0"/>
          <w:sz w:val="30"/>
          <w:szCs w:val="30"/>
        </w:rPr>
        <w:br w:type="textWrapping"/>
      </w:r>
      <w:r>
        <w:rPr>
          <w:rFonts w:hint="eastAsia" w:ascii="宋体" w:hAnsi="宋体" w:eastAsia="仿宋" w:cs="宋体"/>
          <w:kern w:val="0"/>
          <w:sz w:val="30"/>
          <w:szCs w:val="30"/>
        </w:rPr>
        <w:t xml:space="preserve">                          </w:t>
      </w:r>
      <w:r>
        <w:rPr>
          <w:rFonts w:hint="eastAsia" w:ascii="仿宋" w:hAnsi="仿宋" w:eastAsia="仿宋" w:cs="宋体"/>
          <w:kern w:val="0"/>
          <w:sz w:val="30"/>
          <w:szCs w:val="30"/>
        </w:rPr>
        <w:t xml:space="preserve"> 年 </w:t>
      </w:r>
      <w:r>
        <w:rPr>
          <w:rFonts w:hint="eastAsia" w:ascii="宋体" w:hAnsi="宋体" w:eastAsia="仿宋" w:cs="宋体"/>
          <w:kern w:val="0"/>
          <w:sz w:val="30"/>
          <w:szCs w:val="30"/>
        </w:rPr>
        <w:t>  </w:t>
      </w:r>
      <w:r>
        <w:rPr>
          <w:rFonts w:hint="eastAsia" w:ascii="仿宋" w:hAnsi="仿宋" w:eastAsia="仿宋" w:cs="宋体"/>
          <w:kern w:val="0"/>
          <w:sz w:val="30"/>
          <w:szCs w:val="30"/>
        </w:rPr>
        <w:t xml:space="preserve">月 </w:t>
      </w:r>
      <w:r>
        <w:rPr>
          <w:rFonts w:hint="eastAsia" w:ascii="宋体" w:hAnsi="宋体" w:eastAsia="仿宋" w:cs="宋体"/>
          <w:kern w:val="0"/>
          <w:sz w:val="30"/>
          <w:szCs w:val="30"/>
        </w:rPr>
        <w:t>  </w:t>
      </w:r>
      <w:r>
        <w:rPr>
          <w:rFonts w:hint="eastAsia" w:ascii="仿宋" w:hAnsi="仿宋" w:eastAsia="仿宋" w:cs="宋体"/>
          <w:kern w:val="0"/>
          <w:sz w:val="30"/>
          <w:szCs w:val="30"/>
        </w:rPr>
        <w:t>日</w:t>
      </w:r>
    </w:p>
    <w:p>
      <w:pPr>
        <w:tabs>
          <w:tab w:val="left" w:pos="6300"/>
        </w:tabs>
        <w:snapToGrid w:val="0"/>
        <w:spacing w:line="500" w:lineRule="exact"/>
        <w:jc w:val="left"/>
        <w:rPr>
          <w:rFonts w:ascii="方正仿宋_GBK" w:hAnsi="宋体" w:eastAsia="方正仿宋_GBK"/>
        </w:rPr>
      </w:pPr>
    </w:p>
    <w:p>
      <w:pPr>
        <w:tabs>
          <w:tab w:val="left" w:pos="6300"/>
        </w:tabs>
        <w:snapToGrid w:val="0"/>
        <w:spacing w:line="500" w:lineRule="exact"/>
        <w:jc w:val="left"/>
        <w:rPr>
          <w:rFonts w:ascii="方正仿宋_GBK" w:hAnsi="宋体" w:eastAsia="方正仿宋_GBK"/>
        </w:rPr>
      </w:pPr>
    </w:p>
    <w:p>
      <w:pPr>
        <w:spacing w:line="360" w:lineRule="auto"/>
        <w:rPr>
          <w:rFonts w:ascii="方正仿宋_GBK" w:hAnsi="宋体" w:eastAsia="方正仿宋_GBK"/>
          <w:sz w:val="24"/>
          <w:szCs w:val="24"/>
        </w:rPr>
      </w:pPr>
    </w:p>
    <w:p>
      <w:pPr>
        <w:spacing w:line="360" w:lineRule="auto"/>
        <w:jc w:val="center"/>
        <w:outlineLvl w:val="0"/>
      </w:pPr>
      <w:bookmarkStart w:id="265" w:name="_Toc13309"/>
      <w:bookmarkStart w:id="266" w:name="_Toc20455"/>
      <w:bookmarkStart w:id="267" w:name="_Toc28684_WPSOffice_Level1"/>
      <w:r>
        <w:rPr>
          <w:rFonts w:hint="eastAsia" w:ascii="方正仿宋_GBK" w:hAnsi="宋体" w:eastAsia="方正仿宋_GBK"/>
          <w:sz w:val="24"/>
          <w:szCs w:val="24"/>
        </w:rPr>
        <w:t>（结束）</w:t>
      </w:r>
      <w:bookmarkEnd w:id="265"/>
      <w:bookmarkEnd w:id="266"/>
      <w:bookmarkEnd w:id="267"/>
    </w:p>
    <w:sectPr>
      <w:headerReference r:id="rId11"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黑体_GBK">
    <w:altName w:val="Arial Unicode MS"/>
    <w:panose1 w:val="00000000000000000000"/>
    <w:charset w:val="86"/>
    <w:family w:val="script"/>
    <w:pitch w:val="default"/>
    <w:sig w:usb0="00000000" w:usb1="00000000" w:usb2="00000000" w:usb3="00000000" w:csb0="00040000" w:csb1="00000000"/>
  </w:font>
  <w:font w:name="方正仿宋_GBK">
    <w:altName w:val="Arial Unicode MS"/>
    <w:panose1 w:val="00000000000000000000"/>
    <w:charset w:val="86"/>
    <w:family w:val="script"/>
    <w:pitch w:val="default"/>
    <w:sig w:usb0="00000000" w:usb1="00000000" w:usb2="00000000" w:usb3="00000000" w:csb0="00040000" w:csb1="00000000"/>
  </w:font>
  <w:font w:name="方正小标宋_GBK">
    <w:altName w:val="Arial Unicode MS"/>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楷体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jc w:val="center"/>
      <w:rPr>
        <w:rStyle w:val="21"/>
        <w:rFonts w:ascii="宋体"/>
        <w:sz w:val="21"/>
        <w:szCs w:val="21"/>
      </w:rPr>
    </w:pPr>
    <w:r>
      <w:rPr>
        <w:rFonts w:ascii="宋体"/>
        <w:sz w:val="21"/>
        <w:szCs w:val="21"/>
      </w:rPr>
      <w:fldChar w:fldCharType="begin"/>
    </w:r>
    <w:r>
      <w:rPr>
        <w:rStyle w:val="21"/>
        <w:rFonts w:ascii="宋体"/>
        <w:sz w:val="21"/>
        <w:szCs w:val="21"/>
      </w:rPr>
      <w:instrText xml:space="preserve">PAGE  </w:instrText>
    </w:r>
    <w:r>
      <w:rPr>
        <w:rFonts w:ascii="宋体"/>
        <w:sz w:val="21"/>
        <w:szCs w:val="21"/>
      </w:rPr>
      <w:fldChar w:fldCharType="separate"/>
    </w:r>
    <w:r>
      <w:rPr>
        <w:rStyle w:val="21"/>
        <w:rFonts w:ascii="宋体"/>
        <w:sz w:val="21"/>
        <w:szCs w:val="21"/>
      </w:rPr>
      <w:t>16</w:t>
    </w:r>
    <w:r>
      <w:rPr>
        <w:rFonts w:ascii="宋体"/>
        <w:sz w:val="21"/>
        <w:szCs w:val="21"/>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fldChar w:fldCharType="begin"/>
    </w:r>
    <w:r>
      <w:rPr>
        <w:rStyle w:val="21"/>
      </w:rPr>
      <w:instrText xml:space="preserve">PAGE  </w:instrTex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p>
  <w:p>
    <w:pPr>
      <w:pStyle w:val="14"/>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 w:val="21"/>
        <w:szCs w:val="21"/>
      </w:rPr>
    </w:pPr>
    <w:r>
      <w:rPr>
        <w:rFonts w:ascii="宋体" w:hAnsi="宋体"/>
        <w:sz w:val="21"/>
        <w:szCs w:val="21"/>
      </w:rPr>
      <w:fldChar w:fldCharType="begin"/>
    </w:r>
    <w:r>
      <w:rPr>
        <w:rStyle w:val="21"/>
        <w:rFonts w:ascii="宋体" w:hAnsi="宋体"/>
        <w:sz w:val="21"/>
        <w:szCs w:val="21"/>
      </w:rPr>
      <w:instrText xml:space="preserve"> PAGE </w:instrText>
    </w:r>
    <w:r>
      <w:rPr>
        <w:rFonts w:ascii="宋体" w:hAnsi="宋体"/>
        <w:sz w:val="21"/>
        <w:szCs w:val="21"/>
      </w:rPr>
      <w:fldChar w:fldCharType="separate"/>
    </w:r>
    <w:r>
      <w:rPr>
        <w:rStyle w:val="21"/>
        <w:rFonts w:ascii="宋体" w:hAnsi="宋体"/>
        <w:sz w:val="21"/>
        <w:szCs w:val="21"/>
      </w:rPr>
      <w:t>- 64 -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方正仿宋_GBK" w:eastAsia="方正仿宋_GBK"/>
        <w:sz w:val="21"/>
        <w:szCs w:val="21"/>
      </w:rPr>
    </w:pPr>
    <w:r>
      <w:rPr>
        <w:rFonts w:hint="eastAsia" w:ascii="方正仿宋_GBK" w:hAnsi="宋体" w:eastAsia="方正仿宋_GBK"/>
        <w:sz w:val="21"/>
        <w:szCs w:val="21"/>
      </w:rPr>
      <w:t>重庆城市管理职业学院</w:t>
    </w:r>
    <w:r>
      <w:rPr>
        <w:rFonts w:hint="eastAsia" w:ascii="方正仿宋_GBK" w:eastAsia="方正仿宋_GBK"/>
        <w:sz w:val="21"/>
        <w:szCs w:val="21"/>
      </w:rPr>
      <w:t xml:space="preserve">                            </w:t>
    </w:r>
    <w:r>
      <w:rPr>
        <w:rFonts w:hint="eastAsia" w:ascii="方正仿宋_GBK" w:eastAsia="方正仿宋_GBK"/>
        <w:sz w:val="21"/>
        <w:szCs w:val="21"/>
        <w:lang w:val="en-US" w:eastAsia="zh-CN"/>
      </w:rPr>
      <w:t>物联网1+X证书实训设备</w:t>
    </w:r>
    <w:r>
      <w:rPr>
        <w:rFonts w:hint="eastAsia" w:ascii="方正仿宋_GBK" w:eastAsia="方正仿宋_GBK"/>
        <w:sz w:val="21"/>
        <w:szCs w:val="21"/>
      </w:rPr>
      <w:t>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ascii="方正仿宋_GBK" w:eastAsia="方正仿宋_GBK"/>
        <w:sz w:val="21"/>
        <w:szCs w:val="21"/>
      </w:rPr>
    </w:pPr>
    <w:r>
      <w:rPr>
        <w:rFonts w:hint="eastAsia" w:ascii="方正仿宋_GBK" w:hAnsi="宋体" w:eastAsia="方正仿宋_GBK"/>
        <w:sz w:val="21"/>
        <w:szCs w:val="21"/>
      </w:rPr>
      <w:t>重庆城市管理职业学院</w:t>
    </w:r>
    <w:r>
      <w:rPr>
        <w:rFonts w:hint="eastAsia" w:ascii="方正仿宋_GBK" w:eastAsia="方正仿宋_GBK"/>
        <w:sz w:val="21"/>
        <w:szCs w:val="21"/>
      </w:rPr>
      <w:t xml:space="preserve">                初级会计考试实训平台竞争性谈判文件</w:t>
    </w:r>
  </w:p>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rFonts w:hint="eastAsia" w:ascii="方正仿宋_GBK" w:hAnsi="宋体" w:eastAsia="方正仿宋_GBK"/>
        <w:sz w:val="21"/>
        <w:szCs w:val="21"/>
      </w:rPr>
      <w:t>重庆城市管理职业学院</w:t>
    </w:r>
    <w:r>
      <w:rPr>
        <w:rFonts w:hint="eastAsia" w:ascii="方正仿宋_GBK" w:eastAsia="方正仿宋_GBK"/>
        <w:sz w:val="21"/>
        <w:szCs w:val="21"/>
      </w:rPr>
      <w:t xml:space="preserve">                            双高建设项目管理平台竞争性谈判文件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ascii="方正仿宋_GBK" w:eastAsia="方正仿宋_GBK"/>
        <w:sz w:val="21"/>
        <w:szCs w:val="21"/>
      </w:rPr>
    </w:pPr>
    <w:r>
      <w:rPr>
        <w:rFonts w:hint="eastAsia" w:ascii="方正仿宋_GBK" w:eastAsia="方正仿宋_GBK"/>
        <w:sz w:val="21"/>
        <w:szCs w:val="21"/>
      </w:rPr>
      <w:t>重庆城市管理职业学院                                 双高建设项目管理平台竞争性谈判文件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ascii="方正仿宋_GBK" w:eastAsia="方正仿宋_GBK"/>
        <w:sz w:val="21"/>
        <w:szCs w:val="21"/>
      </w:rPr>
    </w:pPr>
    <w:r>
      <w:rPr>
        <w:rFonts w:hint="eastAsia" w:ascii="方正仿宋_GBK" w:eastAsia="方正仿宋_GBK"/>
        <w:sz w:val="21"/>
        <w:szCs w:val="21"/>
      </w:rPr>
      <w:t>重庆城市管理职业学院                                  双高建设项目管理平台竞争性谈判文件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A68D2F"/>
    <w:multiLevelType w:val="singleLevel"/>
    <w:tmpl w:val="F8A68D2F"/>
    <w:lvl w:ilvl="0" w:tentative="0">
      <w:start w:val="1"/>
      <w:numFmt w:val="chineseCounting"/>
      <w:suff w:val="space"/>
      <w:lvlText w:val="(%1)"/>
      <w:lvlJc w:val="left"/>
      <w:rPr>
        <w:rFonts w:hint="eastAsia"/>
      </w:rPr>
    </w:lvl>
  </w:abstractNum>
  <w:abstractNum w:abstractNumId="1">
    <w:nsid w:val="10A7B395"/>
    <w:multiLevelType w:val="singleLevel"/>
    <w:tmpl w:val="10A7B395"/>
    <w:lvl w:ilvl="0" w:tentative="0">
      <w:start w:val="1"/>
      <w:numFmt w:val="chineseCounting"/>
      <w:suff w:val="nothing"/>
      <w:lvlText w:val="%1、"/>
      <w:lvlJc w:val="left"/>
      <w:rPr>
        <w:rFonts w:hint="eastAsia"/>
      </w:rPr>
    </w:lvl>
  </w:abstractNum>
  <w:abstractNum w:abstractNumId="2">
    <w:nsid w:val="39A1CE72"/>
    <w:multiLevelType w:val="singleLevel"/>
    <w:tmpl w:val="39A1CE72"/>
    <w:lvl w:ilvl="0" w:tentative="0">
      <w:start w:val="1"/>
      <w:numFmt w:val="chineseCounting"/>
      <w:suff w:val="nothing"/>
      <w:lvlText w:val="%1、"/>
      <w:lvlJc w:val="left"/>
      <w:rPr>
        <w:rFonts w:hint="eastAsia"/>
      </w:rPr>
    </w:lvl>
  </w:abstractNum>
  <w:abstractNum w:abstractNumId="3">
    <w:nsid w:val="3AF89D40"/>
    <w:multiLevelType w:val="singleLevel"/>
    <w:tmpl w:val="3AF89D40"/>
    <w:lvl w:ilvl="0" w:tentative="0">
      <w:start w:val="1"/>
      <w:numFmt w:val="chineseCounting"/>
      <w:suff w:val="space"/>
      <w:lvlText w:val="(%1)"/>
      <w:lvlJc w:val="left"/>
      <w:rPr>
        <w:rFonts w:hint="eastAsia"/>
      </w:rPr>
    </w:lvl>
  </w:abstractNum>
  <w:abstractNum w:abstractNumId="4">
    <w:nsid w:val="68FB97D3"/>
    <w:multiLevelType w:val="singleLevel"/>
    <w:tmpl w:val="68FB97D3"/>
    <w:lvl w:ilvl="0" w:tentative="0">
      <w:start w:val="3"/>
      <w:numFmt w:val="chineseCounting"/>
      <w:suff w:val="nothing"/>
      <w:lvlText w:val="%1、"/>
      <w:lvlJc w:val="left"/>
      <w:rPr>
        <w:rFonts w:hint="eastAsia"/>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747C66"/>
    <w:rsid w:val="00035F61"/>
    <w:rsid w:val="000E49F1"/>
    <w:rsid w:val="002114F4"/>
    <w:rsid w:val="002726C6"/>
    <w:rsid w:val="0036159E"/>
    <w:rsid w:val="003A71DA"/>
    <w:rsid w:val="003C7258"/>
    <w:rsid w:val="00416998"/>
    <w:rsid w:val="00441193"/>
    <w:rsid w:val="00452486"/>
    <w:rsid w:val="004F5840"/>
    <w:rsid w:val="005030F4"/>
    <w:rsid w:val="0055684A"/>
    <w:rsid w:val="00564192"/>
    <w:rsid w:val="00597A67"/>
    <w:rsid w:val="005A750B"/>
    <w:rsid w:val="00600F1A"/>
    <w:rsid w:val="0068283D"/>
    <w:rsid w:val="00710F6D"/>
    <w:rsid w:val="007165DC"/>
    <w:rsid w:val="00723DFF"/>
    <w:rsid w:val="00731604"/>
    <w:rsid w:val="007467FC"/>
    <w:rsid w:val="00786281"/>
    <w:rsid w:val="00787908"/>
    <w:rsid w:val="007E4C8A"/>
    <w:rsid w:val="008004B9"/>
    <w:rsid w:val="00803C70"/>
    <w:rsid w:val="00882891"/>
    <w:rsid w:val="00887B6B"/>
    <w:rsid w:val="008E1594"/>
    <w:rsid w:val="008E6E03"/>
    <w:rsid w:val="00901480"/>
    <w:rsid w:val="00961D59"/>
    <w:rsid w:val="009777CA"/>
    <w:rsid w:val="009D4B5A"/>
    <w:rsid w:val="00A05FD2"/>
    <w:rsid w:val="00AD6B61"/>
    <w:rsid w:val="00AE05E0"/>
    <w:rsid w:val="00B803FD"/>
    <w:rsid w:val="00BD6EB2"/>
    <w:rsid w:val="00C07572"/>
    <w:rsid w:val="00C2302B"/>
    <w:rsid w:val="00CA3F38"/>
    <w:rsid w:val="00CB1327"/>
    <w:rsid w:val="00CE0DDC"/>
    <w:rsid w:val="00D5748C"/>
    <w:rsid w:val="00D643FE"/>
    <w:rsid w:val="00E064AE"/>
    <w:rsid w:val="00E37476"/>
    <w:rsid w:val="00E5013C"/>
    <w:rsid w:val="00ED5FD4"/>
    <w:rsid w:val="00EE6ADF"/>
    <w:rsid w:val="00F012A4"/>
    <w:rsid w:val="00F15500"/>
    <w:rsid w:val="00F35AF2"/>
    <w:rsid w:val="00F70D3E"/>
    <w:rsid w:val="014D1653"/>
    <w:rsid w:val="01BA2F3F"/>
    <w:rsid w:val="020B07FA"/>
    <w:rsid w:val="032D529C"/>
    <w:rsid w:val="039C20B0"/>
    <w:rsid w:val="03F10B03"/>
    <w:rsid w:val="065D36A7"/>
    <w:rsid w:val="07CF4225"/>
    <w:rsid w:val="083327D5"/>
    <w:rsid w:val="08EC6C29"/>
    <w:rsid w:val="096D6E60"/>
    <w:rsid w:val="0AC13D06"/>
    <w:rsid w:val="0ADC6D6F"/>
    <w:rsid w:val="0B0A573A"/>
    <w:rsid w:val="0B4C01EE"/>
    <w:rsid w:val="0B53768A"/>
    <w:rsid w:val="0B673212"/>
    <w:rsid w:val="0B81703F"/>
    <w:rsid w:val="0BDB7784"/>
    <w:rsid w:val="0C1F60F8"/>
    <w:rsid w:val="0CDC0723"/>
    <w:rsid w:val="0CFF7A7D"/>
    <w:rsid w:val="0D472C4F"/>
    <w:rsid w:val="0DBA3DA4"/>
    <w:rsid w:val="0EAA0329"/>
    <w:rsid w:val="0F490FFE"/>
    <w:rsid w:val="14171775"/>
    <w:rsid w:val="14543297"/>
    <w:rsid w:val="14DF0A0B"/>
    <w:rsid w:val="16A2480A"/>
    <w:rsid w:val="176E16FA"/>
    <w:rsid w:val="17C55282"/>
    <w:rsid w:val="18421F25"/>
    <w:rsid w:val="1981666B"/>
    <w:rsid w:val="1A8144B6"/>
    <w:rsid w:val="1B4C1892"/>
    <w:rsid w:val="1B6F5C6A"/>
    <w:rsid w:val="1B7D56A8"/>
    <w:rsid w:val="1BF50BB6"/>
    <w:rsid w:val="1C1B42DF"/>
    <w:rsid w:val="1C300DA8"/>
    <w:rsid w:val="1C8E5E46"/>
    <w:rsid w:val="1D00308F"/>
    <w:rsid w:val="1D1533A6"/>
    <w:rsid w:val="1DE87FE1"/>
    <w:rsid w:val="1E0D1850"/>
    <w:rsid w:val="1E1134DE"/>
    <w:rsid w:val="1E3A6F0E"/>
    <w:rsid w:val="1E4F09E7"/>
    <w:rsid w:val="1F0D7FDA"/>
    <w:rsid w:val="1F201293"/>
    <w:rsid w:val="1F631AAE"/>
    <w:rsid w:val="20843A42"/>
    <w:rsid w:val="20A508AE"/>
    <w:rsid w:val="20C02F37"/>
    <w:rsid w:val="21260C4B"/>
    <w:rsid w:val="217B2396"/>
    <w:rsid w:val="22BE4227"/>
    <w:rsid w:val="23646B80"/>
    <w:rsid w:val="23B821BF"/>
    <w:rsid w:val="24470191"/>
    <w:rsid w:val="24D217A3"/>
    <w:rsid w:val="24EA0745"/>
    <w:rsid w:val="25747C66"/>
    <w:rsid w:val="260E1323"/>
    <w:rsid w:val="263B5B2D"/>
    <w:rsid w:val="26565E4A"/>
    <w:rsid w:val="266D0825"/>
    <w:rsid w:val="26775B62"/>
    <w:rsid w:val="26AB7623"/>
    <w:rsid w:val="27332F2F"/>
    <w:rsid w:val="278F4CA7"/>
    <w:rsid w:val="27C52529"/>
    <w:rsid w:val="295E4B53"/>
    <w:rsid w:val="2A0A6E09"/>
    <w:rsid w:val="2A4079BF"/>
    <w:rsid w:val="2A5160F2"/>
    <w:rsid w:val="2A8323F1"/>
    <w:rsid w:val="2A901499"/>
    <w:rsid w:val="2B091ECF"/>
    <w:rsid w:val="2B97321F"/>
    <w:rsid w:val="2BA31AD0"/>
    <w:rsid w:val="2C6A2B99"/>
    <w:rsid w:val="2C93362A"/>
    <w:rsid w:val="2DA93E31"/>
    <w:rsid w:val="2E062FAA"/>
    <w:rsid w:val="2F524276"/>
    <w:rsid w:val="2FF12C90"/>
    <w:rsid w:val="309E2207"/>
    <w:rsid w:val="30A409DB"/>
    <w:rsid w:val="31B268BB"/>
    <w:rsid w:val="32042DAF"/>
    <w:rsid w:val="3231057F"/>
    <w:rsid w:val="32AC4267"/>
    <w:rsid w:val="33B04C54"/>
    <w:rsid w:val="34874183"/>
    <w:rsid w:val="35114B2D"/>
    <w:rsid w:val="35D71366"/>
    <w:rsid w:val="360638CA"/>
    <w:rsid w:val="36C20911"/>
    <w:rsid w:val="383C7204"/>
    <w:rsid w:val="39EA44D6"/>
    <w:rsid w:val="3B8A2DDF"/>
    <w:rsid w:val="3C61589C"/>
    <w:rsid w:val="3C7822DC"/>
    <w:rsid w:val="3D2F32DB"/>
    <w:rsid w:val="3DE6032E"/>
    <w:rsid w:val="3E0801F7"/>
    <w:rsid w:val="3E25479E"/>
    <w:rsid w:val="3F28045F"/>
    <w:rsid w:val="40F54085"/>
    <w:rsid w:val="453153FD"/>
    <w:rsid w:val="45486B74"/>
    <w:rsid w:val="4595676C"/>
    <w:rsid w:val="45A11AC2"/>
    <w:rsid w:val="45C947A0"/>
    <w:rsid w:val="46FA140B"/>
    <w:rsid w:val="471E67C0"/>
    <w:rsid w:val="47AB3560"/>
    <w:rsid w:val="47C2137A"/>
    <w:rsid w:val="487A29AE"/>
    <w:rsid w:val="49212BFF"/>
    <w:rsid w:val="4A545612"/>
    <w:rsid w:val="4A8D3DCB"/>
    <w:rsid w:val="4AE04EA2"/>
    <w:rsid w:val="4B227E8C"/>
    <w:rsid w:val="4C052DF0"/>
    <w:rsid w:val="4CB541F2"/>
    <w:rsid w:val="4CC93900"/>
    <w:rsid w:val="4E905BC2"/>
    <w:rsid w:val="4FC4793E"/>
    <w:rsid w:val="502450B6"/>
    <w:rsid w:val="50D720B4"/>
    <w:rsid w:val="50FE6A95"/>
    <w:rsid w:val="515941A2"/>
    <w:rsid w:val="51822545"/>
    <w:rsid w:val="51B76982"/>
    <w:rsid w:val="51EE7DEA"/>
    <w:rsid w:val="5343554F"/>
    <w:rsid w:val="5381247C"/>
    <w:rsid w:val="539B2477"/>
    <w:rsid w:val="539B36D0"/>
    <w:rsid w:val="565A203E"/>
    <w:rsid w:val="56695F85"/>
    <w:rsid w:val="567F0C86"/>
    <w:rsid w:val="56886D81"/>
    <w:rsid w:val="577222B7"/>
    <w:rsid w:val="578C6A6C"/>
    <w:rsid w:val="58492AF6"/>
    <w:rsid w:val="584F1E4D"/>
    <w:rsid w:val="5A354AB2"/>
    <w:rsid w:val="5BDD7441"/>
    <w:rsid w:val="5C2372D6"/>
    <w:rsid w:val="5CEC7FC3"/>
    <w:rsid w:val="5D343BD9"/>
    <w:rsid w:val="5DAD05D7"/>
    <w:rsid w:val="5E6A1911"/>
    <w:rsid w:val="6184735C"/>
    <w:rsid w:val="61AD14A9"/>
    <w:rsid w:val="61EC76CD"/>
    <w:rsid w:val="62252047"/>
    <w:rsid w:val="63506944"/>
    <w:rsid w:val="63727429"/>
    <w:rsid w:val="642F49EC"/>
    <w:rsid w:val="64703EE0"/>
    <w:rsid w:val="64C05460"/>
    <w:rsid w:val="657E030D"/>
    <w:rsid w:val="667E1494"/>
    <w:rsid w:val="66921071"/>
    <w:rsid w:val="66DC7260"/>
    <w:rsid w:val="67C11DDB"/>
    <w:rsid w:val="68077D96"/>
    <w:rsid w:val="6A1B67C6"/>
    <w:rsid w:val="6A3B5F43"/>
    <w:rsid w:val="6B005934"/>
    <w:rsid w:val="6B2A4CFA"/>
    <w:rsid w:val="6B7E4848"/>
    <w:rsid w:val="6C1220E1"/>
    <w:rsid w:val="6C314C1D"/>
    <w:rsid w:val="6CC87B7A"/>
    <w:rsid w:val="6D601BE7"/>
    <w:rsid w:val="6D9077E2"/>
    <w:rsid w:val="6DAB6CCD"/>
    <w:rsid w:val="6E0D18BB"/>
    <w:rsid w:val="6E3B222E"/>
    <w:rsid w:val="6EDC24B9"/>
    <w:rsid w:val="6FB9684C"/>
    <w:rsid w:val="708F59E8"/>
    <w:rsid w:val="71092E93"/>
    <w:rsid w:val="721A05EC"/>
    <w:rsid w:val="734D73BE"/>
    <w:rsid w:val="7387598A"/>
    <w:rsid w:val="738E295E"/>
    <w:rsid w:val="73F3468B"/>
    <w:rsid w:val="744F73C4"/>
    <w:rsid w:val="748F26B6"/>
    <w:rsid w:val="758015BD"/>
    <w:rsid w:val="75F81781"/>
    <w:rsid w:val="763121F2"/>
    <w:rsid w:val="76B72A34"/>
    <w:rsid w:val="76EC20EB"/>
    <w:rsid w:val="770A61FF"/>
    <w:rsid w:val="776707C9"/>
    <w:rsid w:val="78504199"/>
    <w:rsid w:val="7B931DF7"/>
    <w:rsid w:val="7C451BFD"/>
    <w:rsid w:val="7E0D4FDE"/>
    <w:rsid w:val="7E2A2466"/>
    <w:rsid w:val="7EAC4B17"/>
    <w:rsid w:val="7EC9711D"/>
    <w:rsid w:val="7F165BF6"/>
    <w:rsid w:val="7F9E5ABF"/>
    <w:rsid w:val="7FD10ADF"/>
    <w:rsid w:val="7FFF6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line="413" w:lineRule="auto"/>
      <w:outlineLvl w:val="1"/>
    </w:pPr>
    <w:rPr>
      <w:rFonts w:ascii="Arial" w:hAnsi="Arial" w:eastAsia="黑体"/>
      <w:b/>
      <w:sz w:val="32"/>
    </w:rPr>
  </w:style>
  <w:style w:type="paragraph" w:styleId="5">
    <w:name w:val="heading 3"/>
    <w:basedOn w:val="1"/>
    <w:next w:val="1"/>
    <w:qFormat/>
    <w:uiPriority w:val="0"/>
    <w:pPr>
      <w:keepNext/>
      <w:keepLines/>
      <w:spacing w:line="413" w:lineRule="auto"/>
      <w:outlineLvl w:val="2"/>
    </w:pPr>
    <w:rPr>
      <w:b/>
      <w:sz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6">
    <w:name w:val="Normal Indent"/>
    <w:basedOn w:val="1"/>
    <w:qFormat/>
    <w:uiPriority w:val="0"/>
    <w:pPr>
      <w:adjustRightInd w:val="0"/>
      <w:snapToGrid w:val="0"/>
      <w:spacing w:line="360" w:lineRule="auto"/>
      <w:ind w:firstLine="420"/>
    </w:pPr>
    <w:rPr>
      <w:sz w:val="24"/>
    </w:rPr>
  </w:style>
  <w:style w:type="paragraph" w:styleId="7">
    <w:name w:val="caption"/>
    <w:basedOn w:val="1"/>
    <w:next w:val="1"/>
    <w:unhideWhenUsed/>
    <w:qFormat/>
    <w:uiPriority w:val="35"/>
    <w:rPr>
      <w:rFonts w:ascii="Calibri Light" w:hAnsi="Calibri Light" w:eastAsia="黑体"/>
      <w:sz w:val="20"/>
      <w:szCs w:val="20"/>
    </w:rPr>
  </w:style>
  <w:style w:type="paragraph" w:styleId="8">
    <w:name w:val="annotation text"/>
    <w:basedOn w:val="1"/>
    <w:qFormat/>
    <w:uiPriority w:val="0"/>
    <w:pPr>
      <w:jc w:val="left"/>
    </w:pPr>
  </w:style>
  <w:style w:type="paragraph" w:styleId="9">
    <w:name w:val="Body Text Indent"/>
    <w:basedOn w:val="1"/>
    <w:qFormat/>
    <w:uiPriority w:val="0"/>
    <w:pPr>
      <w:spacing w:line="700" w:lineRule="exact"/>
      <w:ind w:left="960"/>
    </w:pPr>
    <w:rPr>
      <w:sz w:val="44"/>
    </w:rPr>
  </w:style>
  <w:style w:type="paragraph" w:styleId="10">
    <w:name w:val="Plain Text"/>
    <w:basedOn w:val="1"/>
    <w:qFormat/>
    <w:uiPriority w:val="0"/>
    <w:rPr>
      <w:rFonts w:ascii="宋体" w:hAnsi="Courier New"/>
      <w:sz w:val="21"/>
    </w:rPr>
  </w:style>
  <w:style w:type="paragraph" w:styleId="11">
    <w:name w:val="Date"/>
    <w:basedOn w:val="1"/>
    <w:next w:val="1"/>
    <w:qFormat/>
    <w:uiPriority w:val="0"/>
  </w:style>
  <w:style w:type="paragraph" w:styleId="12">
    <w:name w:val="Body Text Indent 2"/>
    <w:basedOn w:val="1"/>
    <w:qFormat/>
    <w:uiPriority w:val="0"/>
    <w:pPr>
      <w:snapToGrid w:val="0"/>
      <w:spacing w:line="560" w:lineRule="atLeast"/>
      <w:ind w:firstLine="540"/>
    </w:pPr>
  </w:style>
  <w:style w:type="paragraph" w:styleId="13">
    <w:name w:val="Balloon Text"/>
    <w:basedOn w:val="1"/>
    <w:link w:val="34"/>
    <w:qFormat/>
    <w:uiPriority w:val="0"/>
    <w:rPr>
      <w:rFonts w:ascii="宋体"/>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toc 2"/>
    <w:basedOn w:val="1"/>
    <w:next w:val="1"/>
    <w:qFormat/>
    <w:uiPriority w:val="0"/>
    <w:pPr>
      <w:ind w:left="420" w:leftChars="200"/>
    </w:pPr>
  </w:style>
  <w:style w:type="paragraph" w:styleId="17">
    <w:name w:val="Body Text First Indent"/>
    <w:basedOn w:val="2"/>
    <w:unhideWhenUsed/>
    <w:qFormat/>
    <w:uiPriority w:val="99"/>
    <w:pPr>
      <w:ind w:firstLine="420" w:firstLineChars="100"/>
    </w:p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Hyperlink"/>
    <w:qFormat/>
    <w:uiPriority w:val="0"/>
    <w:rPr>
      <w:color w:val="0000FF"/>
      <w:u w:val="single"/>
    </w:rPr>
  </w:style>
  <w:style w:type="character" w:styleId="23">
    <w:name w:val="annotation reference"/>
    <w:basedOn w:val="20"/>
    <w:qFormat/>
    <w:uiPriority w:val="0"/>
    <w:rPr>
      <w:sz w:val="21"/>
      <w:szCs w:val="21"/>
    </w:rPr>
  </w:style>
  <w:style w:type="paragraph" w:customStyle="1" w:styleId="24">
    <w:name w:val="WPSOffice手动目录 1"/>
    <w:qFormat/>
    <w:uiPriority w:val="0"/>
    <w:rPr>
      <w:rFonts w:ascii="Calibri" w:hAnsi="Calibri" w:eastAsia="宋体" w:cs="Times New Roman"/>
      <w:lang w:val="en-US" w:eastAsia="zh-CN" w:bidi="ar-SA"/>
    </w:rPr>
  </w:style>
  <w:style w:type="paragraph" w:customStyle="1" w:styleId="25">
    <w:name w:val="WPSOffice手动目录 2"/>
    <w:qFormat/>
    <w:uiPriority w:val="0"/>
    <w:pPr>
      <w:ind w:left="200" w:leftChars="200"/>
    </w:pPr>
    <w:rPr>
      <w:rFonts w:ascii="Calibri" w:hAnsi="Calibri" w:eastAsia="宋体" w:cs="Times New Roman"/>
      <w:lang w:val="en-US" w:eastAsia="zh-CN" w:bidi="ar-SA"/>
    </w:rPr>
  </w:style>
  <w:style w:type="paragraph" w:customStyle="1" w:styleId="26">
    <w:name w:val="1"/>
    <w:basedOn w:val="1"/>
    <w:next w:val="10"/>
    <w:qFormat/>
    <w:uiPriority w:val="0"/>
    <w:rPr>
      <w:rFonts w:ascii="宋体" w:hAnsi="Courier New"/>
      <w:sz w:val="21"/>
    </w:rPr>
  </w:style>
  <w:style w:type="paragraph" w:styleId="27">
    <w:name w:val="List Paragraph"/>
    <w:basedOn w:val="1"/>
    <w:qFormat/>
    <w:uiPriority w:val="34"/>
    <w:pPr>
      <w:ind w:firstLine="420" w:firstLineChars="200"/>
    </w:pPr>
  </w:style>
  <w:style w:type="paragraph" w:customStyle="1" w:styleId="28">
    <w:name w:val="列出段落1"/>
    <w:qFormat/>
    <w:uiPriority w:val="99"/>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29">
    <w:name w:val="Code Block"/>
    <w:basedOn w:val="1"/>
    <w:qFormat/>
    <w:uiPriority w:val="0"/>
    <w:pPr>
      <w:widowControl/>
      <w:suppressAutoHyphens/>
      <w:jc w:val="left"/>
    </w:pPr>
    <w:rPr>
      <w:rFonts w:ascii="Arial" w:hAnsi="Arial" w:eastAsia="Arial" w:cs="Arial"/>
      <w:color w:val="424242"/>
      <w:kern w:val="0"/>
      <w:sz w:val="24"/>
      <w:lang w:eastAsia="en-US"/>
    </w:rPr>
  </w:style>
  <w:style w:type="paragraph" w:customStyle="1" w:styleId="30">
    <w:name w:val="ql-long-3671938"/>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1">
    <w:name w:val="ql-author-9940470"/>
    <w:basedOn w:val="20"/>
    <w:qFormat/>
    <w:uiPriority w:val="0"/>
  </w:style>
  <w:style w:type="character" w:customStyle="1" w:styleId="32">
    <w:name w:val="ql-commented"/>
    <w:basedOn w:val="20"/>
    <w:qFormat/>
    <w:uiPriority w:val="0"/>
  </w:style>
  <w:style w:type="character" w:customStyle="1" w:styleId="33">
    <w:name w:val="ql-author-3671938"/>
    <w:basedOn w:val="20"/>
    <w:qFormat/>
    <w:uiPriority w:val="0"/>
  </w:style>
  <w:style w:type="character" w:customStyle="1" w:styleId="34">
    <w:name w:val="批注框文本 字符"/>
    <w:basedOn w:val="20"/>
    <w:link w:val="13"/>
    <w:qFormat/>
    <w:uiPriority w:val="0"/>
    <w:rPr>
      <w:rFonts w:ascii="宋体"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4038</Words>
  <Characters>23022</Characters>
  <Lines>191</Lines>
  <Paragraphs>54</Paragraphs>
  <TotalTime>22</TotalTime>
  <ScaleCrop>false</ScaleCrop>
  <LinksUpToDate>false</LinksUpToDate>
  <CharactersWithSpaces>27006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2020-11-25T09:26:00Z</dcterms:created>
  <dc:creator>黎光</dc:creator>
  <cp:lastModifiedBy>黎光</cp:lastModifiedBy>
  <dcterms:modified xsi:type="dcterms:W3CDTF">2020-11-30T02:10:42Z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